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44"/>
          <w:szCs w:val="44"/>
        </w:rPr>
      </w:pPr>
      <w:r>
        <w:rPr>
          <w:rFonts w:ascii="宋体" w:hAnsi="宋体" w:cs="宋体"/>
          <w:b/>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AP8A
</w:fldData>
        </w:fldChar>
      </w:r>
      <w:r>
        <w:rPr>
          <w:rFonts w:ascii="宋体" w:hAnsi="宋体" w:cs="宋体"/>
          <w:b/>
          <w:bCs/>
          <w:sz w:val="44"/>
          <w:szCs w:val="44"/>
        </w:rPr>
        <w:instrText xml:space="preserve">ADDIN CNKISM.UserStyle</w:instrText>
      </w:r>
      <w:r>
        <w:rPr>
          <w:rFonts w:ascii="宋体" w:hAnsi="宋体" w:cs="宋体"/>
          <w:b/>
          <w:bCs/>
          <w:sz w:val="44"/>
          <w:szCs w:val="44"/>
        </w:rPr>
        <w:fldChar w:fldCharType="end"/>
      </w:r>
      <w:r>
        <w:rPr>
          <w:rFonts w:hint="eastAsia" w:ascii="宋体" w:hAnsi="宋体" w:cs="宋体"/>
          <w:b/>
          <w:bCs/>
          <w:sz w:val="44"/>
          <w:szCs w:val="44"/>
        </w:rPr>
        <w:t>唐山海运职业学院</w:t>
      </w:r>
    </w:p>
    <w:p>
      <w:pPr>
        <w:jc w:val="center"/>
        <w:rPr>
          <w:rFonts w:ascii="宋体" w:cs="宋体"/>
          <w:b/>
          <w:bCs/>
          <w:sz w:val="44"/>
          <w:szCs w:val="44"/>
        </w:rPr>
      </w:pPr>
      <w:r>
        <w:rPr>
          <w:rFonts w:hint="eastAsia" w:ascii="宋体" w:hAnsi="宋体" w:cs="宋体"/>
          <w:b/>
          <w:bCs/>
          <w:sz w:val="44"/>
          <w:szCs w:val="44"/>
        </w:rPr>
        <w:t>提质培优行动计划（</w:t>
      </w:r>
      <w:r>
        <w:rPr>
          <w:rFonts w:ascii="宋体" w:hAnsi="宋体" w:cs="宋体"/>
          <w:b/>
          <w:bCs/>
          <w:kern w:val="0"/>
          <w:sz w:val="44"/>
          <w:szCs w:val="44"/>
        </w:rPr>
        <w:t>2020—2023</w:t>
      </w:r>
      <w:r>
        <w:rPr>
          <w:rFonts w:hint="eastAsia" w:ascii="宋体" w:hAnsi="宋体" w:cs="宋体"/>
          <w:b/>
          <w:bCs/>
          <w:kern w:val="0"/>
          <w:sz w:val="44"/>
          <w:szCs w:val="44"/>
        </w:rPr>
        <w:t>年</w:t>
      </w:r>
      <w:r>
        <w:rPr>
          <w:rFonts w:hint="eastAsia" w:ascii="宋体" w:hAnsi="宋体" w:cs="宋体"/>
          <w:b/>
          <w:bCs/>
          <w:sz w:val="44"/>
          <w:szCs w:val="44"/>
        </w:rPr>
        <w:t>）</w:t>
      </w:r>
    </w:p>
    <w:p>
      <w:pPr>
        <w:jc w:val="center"/>
        <w:rPr>
          <w:rFonts w:ascii="宋体" w:cs="宋体"/>
          <w:b/>
          <w:bCs/>
          <w:sz w:val="44"/>
          <w:szCs w:val="44"/>
        </w:rPr>
      </w:pPr>
      <w:r>
        <w:rPr>
          <w:rFonts w:hint="eastAsia" w:ascii="宋体" w:hAnsi="宋体" w:cs="宋体"/>
          <w:b/>
          <w:bCs/>
          <w:sz w:val="44"/>
          <w:szCs w:val="44"/>
        </w:rPr>
        <w:t>实施方案</w:t>
      </w:r>
    </w:p>
    <w:p>
      <w:pPr>
        <w:widowControl/>
        <w:snapToGrid w:val="0"/>
        <w:spacing w:line="360" w:lineRule="auto"/>
        <w:ind w:firstLine="640" w:firstLineChars="200"/>
        <w:jc w:val="left"/>
        <w:rPr>
          <w:rFonts w:ascii="仿宋" w:hAnsi="仿宋" w:eastAsia="仿宋"/>
          <w:kern w:val="0"/>
          <w:sz w:val="32"/>
          <w:szCs w:val="32"/>
        </w:rPr>
      </w:pP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为深入贯彻《国家职业教育改革实施方案》，落实《职业教育提质培优行动计划（</w:t>
      </w:r>
      <w:r>
        <w:rPr>
          <w:rFonts w:ascii="仿宋" w:hAnsi="仿宋" w:eastAsia="仿宋"/>
          <w:kern w:val="0"/>
          <w:sz w:val="32"/>
          <w:szCs w:val="32"/>
        </w:rPr>
        <w:t>2020-2023</w:t>
      </w:r>
      <w:r>
        <w:rPr>
          <w:rFonts w:hint="eastAsia" w:ascii="仿宋" w:hAnsi="仿宋" w:eastAsia="仿宋"/>
          <w:kern w:val="0"/>
          <w:sz w:val="32"/>
          <w:szCs w:val="32"/>
        </w:rPr>
        <w:t>年）》，全面做好河北省《职业教育提质培优行动计划（</w:t>
      </w:r>
      <w:r>
        <w:rPr>
          <w:rFonts w:ascii="仿宋" w:hAnsi="仿宋" w:eastAsia="仿宋"/>
          <w:kern w:val="0"/>
          <w:sz w:val="32"/>
          <w:szCs w:val="32"/>
        </w:rPr>
        <w:t>2020—2023</w:t>
      </w:r>
      <w:r>
        <w:rPr>
          <w:rFonts w:hint="eastAsia" w:ascii="仿宋" w:hAnsi="仿宋" w:eastAsia="仿宋"/>
          <w:kern w:val="0"/>
          <w:sz w:val="32"/>
          <w:szCs w:val="32"/>
        </w:rPr>
        <w:t>年）》承接任务，推动学院提质培优、增值赋能、以质图强、奋发有为，在推动学院高质量发展中实现创建国家高水平职业院校目标，办好人民满意的公平有质量、特色突出的职业教育，现制定提质培优行动计划（</w:t>
      </w:r>
      <w:r>
        <w:rPr>
          <w:rFonts w:ascii="仿宋" w:hAnsi="仿宋" w:eastAsia="仿宋"/>
          <w:kern w:val="0"/>
          <w:sz w:val="32"/>
          <w:szCs w:val="32"/>
        </w:rPr>
        <w:t>2020—2023</w:t>
      </w:r>
      <w:r>
        <w:rPr>
          <w:rFonts w:hint="eastAsia" w:ascii="仿宋" w:hAnsi="仿宋" w:eastAsia="仿宋"/>
          <w:kern w:val="0"/>
          <w:sz w:val="32"/>
          <w:szCs w:val="32"/>
        </w:rPr>
        <w:t>年）实施方案如下。</w:t>
      </w:r>
    </w:p>
    <w:p>
      <w:pPr>
        <w:widowControl/>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一、总体要求</w:t>
      </w:r>
    </w:p>
    <w:p>
      <w:pPr>
        <w:widowControl/>
        <w:snapToGrid w:val="0"/>
        <w:spacing w:line="360" w:lineRule="auto"/>
        <w:ind w:firstLine="643" w:firstLineChars="200"/>
        <w:jc w:val="left"/>
        <w:rPr>
          <w:rFonts w:ascii="楷体" w:hAnsi="楷体" w:eastAsia="楷体" w:cs="楷体"/>
          <w:b/>
          <w:bCs/>
          <w:kern w:val="0"/>
          <w:sz w:val="32"/>
          <w:szCs w:val="32"/>
        </w:rPr>
      </w:pPr>
      <w:r>
        <w:rPr>
          <w:rFonts w:ascii="仿宋" w:hAnsi="仿宋" w:eastAsia="仿宋"/>
          <w:b/>
          <w:bCs/>
          <w:kern w:val="0"/>
          <w:sz w:val="32"/>
          <w:szCs w:val="32"/>
        </w:rPr>
        <w:t> </w:t>
      </w:r>
      <w:r>
        <w:rPr>
          <w:rFonts w:hint="eastAsia" w:ascii="楷体" w:hAnsi="楷体" w:eastAsia="楷体" w:cs="楷体"/>
          <w:b/>
          <w:bCs/>
          <w:kern w:val="0"/>
          <w:sz w:val="32"/>
          <w:szCs w:val="32"/>
        </w:rPr>
        <w:t>（一）指导思想</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以习近平新时代中国特色社会主义思想为指导，贯彻党的十九大和十九届二中、三中、四中、五中全会精神，牢固树立新发展理念，坚持立德树人、服务发展、促进就业办学宗旨，着力夯实基础、补齐短板，着力深化改革、激发活力，加快构建服务国家战略、适应产业发展需求、满足学生终身发展需要、服务经济社会发展的高质量教育体系，大幅提升教育现代化水平和社会服务能力，为实现“两个一百年”奋斗目标、“十四五”规划和</w:t>
      </w:r>
      <w:r>
        <w:rPr>
          <w:rFonts w:ascii="仿宋" w:hAnsi="仿宋" w:eastAsia="仿宋"/>
          <w:kern w:val="0"/>
          <w:sz w:val="32"/>
          <w:szCs w:val="32"/>
        </w:rPr>
        <w:t>2035</w:t>
      </w:r>
      <w:r>
        <w:rPr>
          <w:rFonts w:hint="eastAsia" w:ascii="仿宋" w:hAnsi="仿宋" w:eastAsia="仿宋"/>
          <w:kern w:val="0"/>
          <w:sz w:val="32"/>
          <w:szCs w:val="32"/>
        </w:rPr>
        <w:t>年远景目标，促进经济社会持续发展提供高质量的技术技能人才支撑。</w:t>
      </w:r>
    </w:p>
    <w:p>
      <w:pPr>
        <w:widowControl/>
        <w:snapToGrid w:val="0"/>
        <w:spacing w:line="360" w:lineRule="auto"/>
        <w:ind w:firstLine="643" w:firstLineChars="200"/>
        <w:jc w:val="left"/>
        <w:rPr>
          <w:rFonts w:ascii="楷体" w:hAnsi="楷体" w:eastAsia="楷体" w:cs="楷体"/>
          <w:b/>
          <w:bCs/>
          <w:kern w:val="0"/>
          <w:sz w:val="32"/>
          <w:szCs w:val="32"/>
        </w:rPr>
      </w:pPr>
      <w:r>
        <w:rPr>
          <w:rFonts w:ascii="楷体" w:hAnsi="楷体" w:eastAsia="楷体" w:cs="楷体"/>
          <w:b/>
          <w:bCs/>
          <w:kern w:val="0"/>
          <w:sz w:val="32"/>
          <w:szCs w:val="32"/>
        </w:rPr>
        <w:t> </w:t>
      </w:r>
      <w:r>
        <w:rPr>
          <w:rFonts w:hint="eastAsia" w:ascii="楷体" w:hAnsi="楷体" w:eastAsia="楷体" w:cs="楷体"/>
          <w:b/>
          <w:bCs/>
          <w:kern w:val="0"/>
          <w:sz w:val="32"/>
          <w:szCs w:val="32"/>
        </w:rPr>
        <w:t>（二）主要目标</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通过三年建设，学院办学与经济社会发展需求对接更加紧密、同人民群众对享有高质量教育的期待更加契合、教育体系更加完备、制度更加健全、机制更加灵活、标准体系更加完善、软硬件条件更加齐备、考核评价更加科学。</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办学定位清晰，专业设置不断优化，人才培养体系更加完善，更加适应区域经济社会发展需求。</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办学治校标准体系逐步完善，办学基本条件逐步改善，评价体系更具职教特色，教师、教材、教法改革全面深化。</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办学水平、人才培养质量和就业质量整体提升，社会认可度大幅提高，服务地方经济社会发展和国家重大战略的能力不断增强。</w:t>
      </w:r>
    </w:p>
    <w:p>
      <w:pPr>
        <w:widowControl/>
        <w:snapToGrid w:val="0"/>
        <w:spacing w:line="360" w:lineRule="auto"/>
        <w:ind w:firstLine="643" w:firstLineChars="200"/>
        <w:jc w:val="left"/>
        <w:rPr>
          <w:rFonts w:ascii="仿宋" w:hAnsi="仿宋" w:eastAsia="仿宋"/>
          <w:b/>
          <w:bCs/>
          <w:kern w:val="0"/>
          <w:sz w:val="32"/>
          <w:szCs w:val="32"/>
        </w:rPr>
      </w:pPr>
      <w:r>
        <w:rPr>
          <w:rFonts w:ascii="仿宋" w:hAnsi="仿宋" w:eastAsia="仿宋"/>
          <w:b/>
          <w:bCs/>
          <w:kern w:val="0"/>
          <w:sz w:val="32"/>
          <w:szCs w:val="32"/>
        </w:rPr>
        <w:t> </w:t>
      </w:r>
      <w:r>
        <w:rPr>
          <w:rFonts w:hint="eastAsia" w:ascii="楷体" w:hAnsi="楷体" w:eastAsia="楷体" w:cs="楷体"/>
          <w:b/>
          <w:bCs/>
          <w:kern w:val="0"/>
          <w:sz w:val="32"/>
          <w:szCs w:val="32"/>
        </w:rPr>
        <w:t>（三）基本原则</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育人为本，质量为先。推进思想政治工作改革创新。深化产教融合、校企合作，强化工学结合、知行合一，健全德技并修育人机制，完善多元共治的质量保证机制，推进学院高质量发展。</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固本强基，综合改革。聚焦薄弱环节，着力补短板、强弱项，夯实发展基础。系统推进体制机制、教育教学、评价体系改革，为高质量发展注入新动力，激发办学活力。</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标准先行，整体提升。健全标准体系，完善标准落地的工作机制。推进关键改革，突破瓶颈制约，打造优质资源和特色品牌，全面推进学院创新发展。</w:t>
      </w:r>
    </w:p>
    <w:p>
      <w:pPr>
        <w:widowControl/>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二、重点任务（项目）</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根据河北省教育厅确定的《职业教育提质培优行动计划（</w:t>
      </w:r>
      <w:r>
        <w:rPr>
          <w:rFonts w:ascii="仿宋" w:hAnsi="仿宋" w:eastAsia="仿宋"/>
          <w:kern w:val="0"/>
          <w:sz w:val="32"/>
          <w:szCs w:val="32"/>
        </w:rPr>
        <w:t>2020—2023</w:t>
      </w:r>
      <w:r>
        <w:rPr>
          <w:rFonts w:hint="eastAsia" w:ascii="仿宋" w:hAnsi="仿宋" w:eastAsia="仿宋"/>
          <w:kern w:val="0"/>
          <w:sz w:val="32"/>
          <w:szCs w:val="32"/>
        </w:rPr>
        <w:t>年）》承接任务（项目），我院共承担</w:t>
      </w:r>
      <w:r>
        <w:rPr>
          <w:rFonts w:ascii="仿宋" w:hAnsi="仿宋" w:eastAsia="仿宋"/>
          <w:kern w:val="0"/>
          <w:sz w:val="32"/>
          <w:szCs w:val="32"/>
        </w:rPr>
        <w:t>18</w:t>
      </w:r>
      <w:r>
        <w:rPr>
          <w:rFonts w:hint="eastAsia" w:ascii="仿宋" w:hAnsi="仿宋" w:eastAsia="仿宋"/>
          <w:kern w:val="0"/>
          <w:sz w:val="32"/>
          <w:szCs w:val="32"/>
        </w:rPr>
        <w:t>项省级任务（项目）。</w:t>
      </w:r>
    </w:p>
    <w:p>
      <w:pPr>
        <w:widowControl/>
        <w:snapToGrid w:val="0"/>
        <w:spacing w:line="360" w:lineRule="auto"/>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（一）</w:t>
      </w:r>
      <w:r>
        <w:rPr>
          <w:rFonts w:hint="eastAsia" w:ascii="楷体" w:hAnsi="楷体" w:eastAsia="楷体"/>
          <w:b/>
          <w:kern w:val="0"/>
          <w:sz w:val="32"/>
          <w:szCs w:val="32"/>
        </w:rPr>
        <w:t>推动习近平新时代中国特色社会主义思想进教材进课堂进头脑</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w:t>
      </w:r>
      <w:r>
        <w:rPr>
          <w:rFonts w:ascii="仿宋" w:hAnsi="仿宋" w:eastAsia="仿宋"/>
          <w:kern w:val="0"/>
          <w:sz w:val="32"/>
          <w:szCs w:val="32"/>
        </w:rPr>
        <w:t>16</w:t>
      </w:r>
      <w:r>
        <w:rPr>
          <w:rFonts w:hint="eastAsia" w:ascii="仿宋" w:hAnsi="仿宋" w:eastAsia="仿宋"/>
          <w:kern w:val="0"/>
          <w:sz w:val="32"/>
          <w:szCs w:val="32"/>
        </w:rPr>
        <w:t>学时。加强职业教育研究，加快构建中国特色职业教育的思想体系、话语体系、政策体系和实践体系。</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牵头承接部门：党群部；共同承接部门：基础部、职教中心</w:t>
      </w:r>
    </w:p>
    <w:p>
      <w:pPr>
        <w:widowControl/>
        <w:snapToGrid w:val="0"/>
        <w:spacing w:line="360" w:lineRule="auto"/>
        <w:ind w:firstLine="643" w:firstLineChars="200"/>
        <w:jc w:val="left"/>
        <w:rPr>
          <w:rFonts w:ascii="仿宋" w:hAnsi="仿宋" w:eastAsia="仿宋"/>
          <w:kern w:val="0"/>
          <w:sz w:val="32"/>
          <w:szCs w:val="32"/>
        </w:rPr>
      </w:pPr>
      <w:r>
        <w:rPr>
          <w:rFonts w:ascii="楷体" w:hAnsi="楷体" w:eastAsia="楷体" w:cs="楷体"/>
          <w:b/>
          <w:kern w:val="0"/>
          <w:sz w:val="32"/>
          <w:szCs w:val="32"/>
        </w:rPr>
        <w:t>(</w:t>
      </w:r>
      <w:r>
        <w:rPr>
          <w:rFonts w:hint="eastAsia" w:ascii="楷体" w:hAnsi="楷体" w:eastAsia="楷体" w:cs="楷体"/>
          <w:b/>
          <w:kern w:val="0"/>
          <w:sz w:val="32"/>
          <w:szCs w:val="32"/>
        </w:rPr>
        <w:t>二</w:t>
      </w:r>
      <w:r>
        <w:rPr>
          <w:rFonts w:ascii="楷体" w:hAnsi="楷体" w:eastAsia="楷体" w:cs="楷体"/>
          <w:b/>
          <w:kern w:val="0"/>
          <w:sz w:val="32"/>
          <w:szCs w:val="32"/>
        </w:rPr>
        <w:t>)</w:t>
      </w:r>
      <w:r>
        <w:rPr>
          <w:rFonts w:hint="eastAsia" w:ascii="楷体" w:hAnsi="楷体" w:eastAsia="楷体" w:cs="楷体"/>
          <w:b/>
          <w:kern w:val="0"/>
          <w:sz w:val="32"/>
          <w:szCs w:val="32"/>
        </w:rPr>
        <w:t>创新思想政治教育模式。</w:t>
      </w:r>
      <w:r>
        <w:rPr>
          <w:rFonts w:hint="eastAsia" w:ascii="仿宋" w:hAnsi="仿宋" w:eastAsia="仿宋"/>
          <w:kern w:val="0"/>
          <w:sz w:val="32"/>
          <w:szCs w:val="32"/>
        </w:rPr>
        <w:t>加强思想政治理论课课程建设，开足开齐开好必修课程，按照规定选用国家统编教材。根据全日制在校生总数，严格按照师生比不低于</w:t>
      </w:r>
      <w:r>
        <w:rPr>
          <w:rFonts w:ascii="仿宋" w:hAnsi="仿宋" w:eastAsia="仿宋"/>
          <w:kern w:val="0"/>
          <w:sz w:val="32"/>
          <w:szCs w:val="32"/>
        </w:rPr>
        <w:t>1:350</w:t>
      </w:r>
      <w:r>
        <w:rPr>
          <w:rFonts w:hint="eastAsia" w:ascii="仿宋" w:hAnsi="仿宋" w:eastAsia="仿宋"/>
          <w:kern w:val="0"/>
          <w:sz w:val="32"/>
          <w:szCs w:val="32"/>
        </w:rPr>
        <w:t>的比例核定专职思政课教师岗位。实施党建和思政工作能力提升计划，开展德育管理人员、专职思政课教师培训。改革思政课教师考核办法，将政治素质作为教师考核第一标准。遵循学生认知规律，开发遴选学生喜闻乐见的课程资源，因地制宜实施情景式、案例式、活动式等教法，建设学生真心喜爱、终生受益、体现职业教育特点的思政课程。持续开展“文明风采”系列活动。在广泛发动、普遍建设的基础上，遴选重点培训的德育骨干管理人员或思政课专任教师</w:t>
      </w:r>
      <w:r>
        <w:rPr>
          <w:rFonts w:ascii="仿宋" w:hAnsi="仿宋" w:eastAsia="仿宋"/>
          <w:kern w:val="0"/>
          <w:sz w:val="32"/>
          <w:szCs w:val="32"/>
        </w:rPr>
        <w:t>1</w:t>
      </w:r>
      <w:r>
        <w:rPr>
          <w:rFonts w:hint="eastAsia" w:ascii="仿宋" w:hAnsi="仿宋" w:eastAsia="仿宋"/>
          <w:kern w:val="0"/>
          <w:sz w:val="32"/>
          <w:szCs w:val="32"/>
        </w:rPr>
        <w:t>名，独具特色并具有推广价值的思想政治课示范课堂</w:t>
      </w:r>
      <w:r>
        <w:rPr>
          <w:rFonts w:ascii="仿宋" w:hAnsi="仿宋" w:eastAsia="仿宋"/>
          <w:kern w:val="0"/>
          <w:sz w:val="32"/>
          <w:szCs w:val="32"/>
        </w:rPr>
        <w:t>1</w:t>
      </w:r>
      <w:r>
        <w:rPr>
          <w:rFonts w:hint="eastAsia" w:ascii="仿宋" w:hAnsi="仿宋" w:eastAsia="仿宋"/>
          <w:kern w:val="0"/>
          <w:sz w:val="32"/>
          <w:szCs w:val="32"/>
        </w:rPr>
        <w:t>个、课程思政教育案例</w:t>
      </w:r>
      <w:r>
        <w:rPr>
          <w:rFonts w:ascii="仿宋" w:hAnsi="仿宋" w:eastAsia="仿宋"/>
          <w:kern w:val="0"/>
          <w:sz w:val="32"/>
          <w:szCs w:val="32"/>
        </w:rPr>
        <w:t>1</w:t>
      </w:r>
      <w:r>
        <w:rPr>
          <w:rFonts w:hint="eastAsia" w:ascii="仿宋" w:hAnsi="仿宋" w:eastAsia="仿宋"/>
          <w:kern w:val="0"/>
          <w:sz w:val="32"/>
          <w:szCs w:val="32"/>
        </w:rPr>
        <w:t>个。</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严格按照师生比不低于</w:t>
      </w:r>
      <w:r>
        <w:rPr>
          <w:rFonts w:ascii="黑体" w:hAnsi="黑体" w:eastAsia="黑体"/>
          <w:kern w:val="0"/>
          <w:sz w:val="32"/>
          <w:szCs w:val="32"/>
        </w:rPr>
        <w:t>1:350</w:t>
      </w:r>
      <w:r>
        <w:rPr>
          <w:rFonts w:hint="eastAsia" w:ascii="黑体" w:hAnsi="黑体" w:eastAsia="黑体"/>
          <w:kern w:val="0"/>
          <w:sz w:val="32"/>
          <w:szCs w:val="32"/>
        </w:rPr>
        <w:t>的比例核定专职思政课教师岗位</w:t>
      </w:r>
      <w:r>
        <w:rPr>
          <w:rFonts w:ascii="黑体" w:hAnsi="黑体" w:eastAsia="黑体"/>
          <w:kern w:val="0"/>
          <w:sz w:val="32"/>
          <w:szCs w:val="32"/>
        </w:rPr>
        <w:t xml:space="preserve"> </w:t>
      </w:r>
      <w:r>
        <w:rPr>
          <w:rFonts w:hint="eastAsia" w:ascii="黑体" w:hAnsi="黑体" w:eastAsia="黑体"/>
          <w:kern w:val="0"/>
          <w:sz w:val="32"/>
          <w:szCs w:val="32"/>
        </w:rPr>
        <w:t>牵头承接部门：人事处；共同承接部门：基础部</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培训德育骨干管理人员、思政课专任教师</w:t>
      </w:r>
      <w:r>
        <w:rPr>
          <w:rFonts w:ascii="黑体" w:hAnsi="黑体" w:eastAsia="黑体"/>
          <w:kern w:val="0"/>
          <w:sz w:val="32"/>
          <w:szCs w:val="32"/>
        </w:rPr>
        <w:t>1</w:t>
      </w:r>
      <w:r>
        <w:rPr>
          <w:rFonts w:hint="eastAsia" w:ascii="黑体" w:hAnsi="黑体" w:eastAsia="黑体"/>
          <w:kern w:val="0"/>
          <w:sz w:val="32"/>
          <w:szCs w:val="32"/>
        </w:rPr>
        <w:t>名牵头</w:t>
      </w:r>
      <w:r>
        <w:rPr>
          <w:rFonts w:ascii="黑体" w:hAnsi="黑体" w:eastAsia="黑体"/>
          <w:kern w:val="0"/>
          <w:sz w:val="32"/>
          <w:szCs w:val="32"/>
        </w:rPr>
        <w:t xml:space="preserve"> </w:t>
      </w:r>
      <w:r>
        <w:rPr>
          <w:rFonts w:hint="eastAsia" w:ascii="黑体" w:hAnsi="黑体" w:eastAsia="黑体"/>
          <w:kern w:val="0"/>
          <w:sz w:val="32"/>
          <w:szCs w:val="32"/>
        </w:rPr>
        <w:t>承接部门：学生处；共同承接部门：党群部、基础部</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思想政治课示范课堂</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牵头承接部门：基础部；共同承接部门：党群部</w:t>
      </w:r>
      <w:r>
        <w:rPr>
          <w:rFonts w:ascii="黑体" w:hAnsi="黑体" w:eastAsia="黑体"/>
          <w:kern w:val="0"/>
          <w:sz w:val="32"/>
          <w:szCs w:val="32"/>
        </w:rPr>
        <w:t xml:space="preserve"> </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课程思政教育案例</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牵头承接部门：教务处；共同承接部门：党群部、各系部</w:t>
      </w:r>
    </w:p>
    <w:p>
      <w:pPr>
        <w:widowControl/>
        <w:snapToGrid w:val="0"/>
        <w:spacing w:line="360" w:lineRule="auto"/>
        <w:ind w:firstLine="640" w:firstLineChars="200"/>
        <w:jc w:val="left"/>
        <w:rPr>
          <w:rFonts w:ascii="楷体" w:hAnsi="楷体" w:eastAsia="楷体" w:cs="楷体"/>
          <w:b/>
          <w:kern w:val="0"/>
          <w:sz w:val="32"/>
          <w:szCs w:val="32"/>
        </w:rPr>
      </w:pPr>
      <w:r>
        <w:rPr>
          <w:rFonts w:hint="eastAsia" w:ascii="楷体" w:hAnsi="楷体" w:eastAsia="楷体" w:cs="楷体"/>
          <w:kern w:val="0"/>
          <w:sz w:val="32"/>
          <w:szCs w:val="32"/>
        </w:rPr>
        <w:t>（三）</w:t>
      </w:r>
      <w:r>
        <w:rPr>
          <w:rFonts w:hint="eastAsia" w:ascii="楷体" w:hAnsi="楷体" w:eastAsia="楷体" w:cs="楷体"/>
          <w:b/>
          <w:kern w:val="0"/>
          <w:sz w:val="32"/>
          <w:szCs w:val="32"/>
        </w:rPr>
        <w:t>推动学历教育与职业培训并举并重</w:t>
      </w:r>
    </w:p>
    <w:p>
      <w:pPr>
        <w:widowControl/>
        <w:snapToGrid w:val="0"/>
        <w:spacing w:line="360" w:lineRule="auto"/>
        <w:ind w:firstLine="640" w:firstLineChars="200"/>
        <w:jc w:val="left"/>
        <w:rPr>
          <w:rFonts w:ascii="楷体" w:hAnsi="楷体" w:eastAsia="楷体" w:cs="楷体"/>
          <w:kern w:val="0"/>
          <w:sz w:val="32"/>
          <w:szCs w:val="32"/>
        </w:rPr>
      </w:pPr>
      <w:r>
        <w:rPr>
          <w:rFonts w:hint="eastAsia" w:ascii="仿宋" w:hAnsi="仿宋" w:eastAsia="仿宋"/>
          <w:kern w:val="0"/>
          <w:sz w:val="32"/>
          <w:szCs w:val="32"/>
        </w:rPr>
        <w:t>落实职业学校并举实施学历教育与培训的职责，按照育训结合、长短结合、内外结合的要求，面向在校学生和全体社会成员开展职业培训，年培训人次达到在校生规模的</w:t>
      </w:r>
      <w:r>
        <w:rPr>
          <w:rFonts w:ascii="仿宋" w:hAnsi="仿宋" w:eastAsia="仿宋"/>
          <w:kern w:val="0"/>
          <w:sz w:val="32"/>
          <w:szCs w:val="32"/>
        </w:rPr>
        <w:t>2</w:t>
      </w:r>
      <w:r>
        <w:rPr>
          <w:rFonts w:hint="eastAsia" w:ascii="仿宋" w:hAnsi="仿宋" w:eastAsia="仿宋"/>
          <w:kern w:val="0"/>
          <w:sz w:val="32"/>
          <w:szCs w:val="32"/>
        </w:rPr>
        <w:t>倍以上。深入推进</w:t>
      </w:r>
      <w:r>
        <w:rPr>
          <w:rFonts w:ascii="仿宋" w:hAnsi="仿宋" w:eastAsia="仿宋"/>
          <w:kern w:val="0"/>
          <w:sz w:val="32"/>
          <w:szCs w:val="32"/>
        </w:rPr>
        <w:t>1+X</w:t>
      </w:r>
      <w:r>
        <w:rPr>
          <w:rFonts w:hint="eastAsia" w:ascii="仿宋" w:hAnsi="仿宋" w:eastAsia="仿宋"/>
          <w:kern w:val="0"/>
          <w:sz w:val="32"/>
          <w:szCs w:val="32"/>
        </w:rPr>
        <w:t>证书制度试点，做到全面覆盖，并及时总结试点工作经验做法，提高职业技能等级证书的行业企业认可度，服务学生成长和高质量就业。利用合作行业、企业资源，向社会提供技术培训服务及技术支持，为职工素质提升和群众生活质量提高提供持续动力。与龙头企业联合建设示范性职工培训基地</w:t>
      </w:r>
      <w:r>
        <w:rPr>
          <w:rFonts w:ascii="仿宋" w:hAnsi="仿宋" w:eastAsia="仿宋"/>
          <w:kern w:val="0"/>
          <w:sz w:val="32"/>
          <w:szCs w:val="32"/>
        </w:rPr>
        <w:t>1</w:t>
      </w:r>
      <w:r>
        <w:rPr>
          <w:rFonts w:hint="eastAsia" w:ascii="仿宋" w:hAnsi="仿宋" w:eastAsia="仿宋"/>
          <w:kern w:val="0"/>
          <w:sz w:val="32"/>
          <w:szCs w:val="32"/>
        </w:rPr>
        <w:t>个。</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面向在校学生和社会成员开展职业培训，年培训人次达到在校生规模的</w:t>
      </w:r>
      <w:r>
        <w:rPr>
          <w:rFonts w:ascii="黑体" w:hAnsi="黑体" w:eastAsia="黑体"/>
          <w:kern w:val="0"/>
          <w:sz w:val="32"/>
          <w:szCs w:val="32"/>
        </w:rPr>
        <w:t>2</w:t>
      </w:r>
      <w:r>
        <w:rPr>
          <w:rFonts w:hint="eastAsia" w:ascii="黑体" w:hAnsi="黑体" w:eastAsia="黑体"/>
          <w:kern w:val="0"/>
          <w:sz w:val="32"/>
          <w:szCs w:val="32"/>
        </w:rPr>
        <w:t>倍以上</w:t>
      </w:r>
      <w:r>
        <w:rPr>
          <w:rFonts w:ascii="黑体" w:hAnsi="黑体" w:eastAsia="黑体"/>
          <w:kern w:val="0"/>
          <w:sz w:val="32"/>
          <w:szCs w:val="32"/>
        </w:rPr>
        <w:t xml:space="preserve"> </w:t>
      </w:r>
      <w:r>
        <w:rPr>
          <w:rFonts w:hint="eastAsia" w:ascii="黑体" w:hAnsi="黑体" w:eastAsia="黑体"/>
          <w:kern w:val="0"/>
          <w:sz w:val="32"/>
          <w:szCs w:val="32"/>
        </w:rPr>
        <w:t>牵头承接部门：双创中心；共同承接部门：各系</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推进</w:t>
      </w:r>
      <w:r>
        <w:rPr>
          <w:rFonts w:ascii="黑体" w:hAnsi="黑体" w:eastAsia="黑体"/>
          <w:kern w:val="0"/>
          <w:sz w:val="32"/>
          <w:szCs w:val="32"/>
        </w:rPr>
        <w:t>1+X</w:t>
      </w:r>
      <w:r>
        <w:rPr>
          <w:rFonts w:hint="eastAsia" w:ascii="黑体" w:hAnsi="黑体" w:eastAsia="黑体"/>
          <w:kern w:val="0"/>
          <w:sz w:val="32"/>
          <w:szCs w:val="32"/>
        </w:rPr>
        <w:t>证书制度试点</w:t>
      </w:r>
      <w:r>
        <w:rPr>
          <w:rFonts w:ascii="黑体" w:hAnsi="黑体" w:eastAsia="黑体"/>
          <w:kern w:val="0"/>
          <w:sz w:val="32"/>
          <w:szCs w:val="32"/>
        </w:rPr>
        <w:t xml:space="preserve"> </w:t>
      </w:r>
      <w:r>
        <w:rPr>
          <w:rFonts w:hint="eastAsia" w:ascii="黑体" w:hAnsi="黑体" w:eastAsia="黑体"/>
          <w:kern w:val="0"/>
          <w:sz w:val="32"/>
          <w:szCs w:val="32"/>
        </w:rPr>
        <w:t>牵头承接部门：教务处；共同承接部门：各系</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与龙头企业联合建设示范性职工培训基地</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牵头承接部门：交通系</w:t>
      </w:r>
    </w:p>
    <w:p>
      <w:pPr>
        <w:widowControl/>
        <w:snapToGrid w:val="0"/>
        <w:spacing w:line="360" w:lineRule="auto"/>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（四）深化校企合作协同育人模式改革</w:t>
      </w:r>
    </w:p>
    <w:p>
      <w:pPr>
        <w:widowControl/>
        <w:snapToGrid w:val="0"/>
        <w:spacing w:line="360" w:lineRule="auto"/>
        <w:ind w:firstLine="640" w:firstLineChars="200"/>
        <w:jc w:val="left"/>
        <w:rPr>
          <w:rFonts w:ascii="楷体" w:hAnsi="楷体" w:eastAsia="楷体" w:cs="楷体"/>
          <w:kern w:val="0"/>
          <w:sz w:val="32"/>
          <w:szCs w:val="32"/>
        </w:rPr>
      </w:pPr>
      <w:r>
        <w:rPr>
          <w:rFonts w:hint="eastAsia" w:ascii="仿宋" w:hAnsi="仿宋" w:eastAsia="仿宋"/>
          <w:kern w:val="0"/>
          <w:sz w:val="32"/>
          <w:szCs w:val="32"/>
        </w:rPr>
        <w:t>根据自身特点和人才培养需要，强化与企业在人才培养培训、技术创新、就业创业、社会服务、文化传承等方面开展深入合作。大力推行现代学徒制，吸纳企业利用资本、技术、知识、设施、设备和管理等要素参与校企合作。加强与行业领军企业合作，推进职教集团建设，建设服务健康服务领域为主的产业高端技术技能人才标准和培养高地。依托国有企业、大型民企，建立示范性教师企业实践流动站</w:t>
      </w:r>
      <w:r>
        <w:rPr>
          <w:rFonts w:ascii="仿宋" w:hAnsi="仿宋" w:eastAsia="仿宋"/>
          <w:kern w:val="0"/>
          <w:sz w:val="32"/>
          <w:szCs w:val="32"/>
        </w:rPr>
        <w:t>1</w:t>
      </w:r>
      <w:r>
        <w:rPr>
          <w:rFonts w:hint="eastAsia" w:ascii="仿宋" w:hAnsi="仿宋" w:eastAsia="仿宋"/>
          <w:kern w:val="0"/>
          <w:sz w:val="32"/>
          <w:szCs w:val="32"/>
        </w:rPr>
        <w:t>个；建设具有辐射引领作用的高水平专业化产教融合实训基地</w:t>
      </w:r>
      <w:r>
        <w:rPr>
          <w:rFonts w:ascii="仿宋" w:hAnsi="仿宋" w:eastAsia="仿宋"/>
          <w:kern w:val="0"/>
          <w:sz w:val="32"/>
          <w:szCs w:val="32"/>
        </w:rPr>
        <w:t>1</w:t>
      </w:r>
      <w:r>
        <w:rPr>
          <w:rFonts w:hint="eastAsia" w:ascii="仿宋" w:hAnsi="仿宋" w:eastAsia="仿宋"/>
          <w:kern w:val="0"/>
          <w:sz w:val="32"/>
          <w:szCs w:val="32"/>
        </w:rPr>
        <w:t>个。</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建立示范性教师企业实践流动站</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牵头承接部门：双创中心；共同承接部门：机电系</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建设具有辐射引领作用的高水平专业化产教融合实训基地</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牵头承接部门：商务旅游系</w:t>
      </w:r>
    </w:p>
    <w:p>
      <w:pPr>
        <w:widowControl/>
        <w:snapToGrid w:val="0"/>
        <w:spacing w:line="360" w:lineRule="auto"/>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（五）提升教师“双师”素质</w:t>
      </w:r>
    </w:p>
    <w:p>
      <w:pPr>
        <w:widowControl/>
        <w:snapToGrid w:val="0"/>
        <w:spacing w:line="360" w:lineRule="auto"/>
        <w:ind w:firstLine="640" w:firstLineChars="200"/>
        <w:jc w:val="left"/>
        <w:rPr>
          <w:rFonts w:ascii="楷体" w:hAnsi="楷体" w:eastAsia="楷体" w:cs="楷体"/>
          <w:b/>
          <w:kern w:val="0"/>
          <w:sz w:val="32"/>
          <w:szCs w:val="32"/>
        </w:rPr>
      </w:pPr>
      <w:r>
        <w:rPr>
          <w:rFonts w:hint="eastAsia" w:ascii="仿宋" w:hAnsi="仿宋" w:eastAsia="仿宋"/>
          <w:kern w:val="0"/>
          <w:sz w:val="32"/>
          <w:szCs w:val="32"/>
        </w:rPr>
        <w:t>落实新一周期“全国职业院校教师素质提高计划”，持续推进</w:t>
      </w:r>
      <w:r>
        <w:rPr>
          <w:rFonts w:ascii="仿宋" w:hAnsi="仿宋" w:eastAsia="仿宋"/>
          <w:kern w:val="0"/>
          <w:sz w:val="32"/>
          <w:szCs w:val="32"/>
        </w:rPr>
        <w:t>5</w:t>
      </w:r>
      <w:r>
        <w:rPr>
          <w:rFonts w:hint="eastAsia" w:ascii="仿宋" w:hAnsi="仿宋" w:eastAsia="仿宋"/>
          <w:kern w:val="0"/>
          <w:sz w:val="32"/>
          <w:szCs w:val="32"/>
        </w:rPr>
        <w:t>年一轮的教师全员培训制度。校企共建“双师型”教师培养培训基地和教师企业实践基地</w:t>
      </w:r>
      <w:r>
        <w:rPr>
          <w:rFonts w:ascii="仿宋" w:hAnsi="仿宋" w:eastAsia="仿宋"/>
          <w:kern w:val="0"/>
          <w:sz w:val="32"/>
          <w:szCs w:val="32"/>
        </w:rPr>
        <w:t>1</w:t>
      </w:r>
      <w:r>
        <w:rPr>
          <w:rFonts w:hint="eastAsia" w:ascii="仿宋" w:hAnsi="仿宋" w:eastAsia="仿宋"/>
          <w:kern w:val="0"/>
          <w:sz w:val="32"/>
          <w:szCs w:val="32"/>
        </w:rPr>
        <w:t>个。到</w:t>
      </w:r>
      <w:r>
        <w:rPr>
          <w:rFonts w:ascii="仿宋" w:hAnsi="仿宋" w:eastAsia="仿宋"/>
          <w:kern w:val="0"/>
          <w:sz w:val="32"/>
          <w:szCs w:val="32"/>
        </w:rPr>
        <w:t>2023</w:t>
      </w:r>
      <w:r>
        <w:rPr>
          <w:rFonts w:hint="eastAsia" w:ascii="仿宋" w:hAnsi="仿宋" w:eastAsia="仿宋"/>
          <w:kern w:val="0"/>
          <w:sz w:val="32"/>
          <w:szCs w:val="32"/>
        </w:rPr>
        <w:t>年，专业教师中“双师型”教师占比超过</w:t>
      </w:r>
      <w:r>
        <w:rPr>
          <w:rFonts w:ascii="仿宋" w:hAnsi="仿宋" w:eastAsia="仿宋"/>
          <w:kern w:val="0"/>
          <w:sz w:val="32"/>
          <w:szCs w:val="32"/>
        </w:rPr>
        <w:t>50%</w:t>
      </w:r>
      <w:r>
        <w:rPr>
          <w:rFonts w:hint="eastAsia" w:ascii="仿宋" w:hAnsi="仿宋" w:eastAsia="仿宋"/>
          <w:kern w:val="0"/>
          <w:sz w:val="32"/>
          <w:szCs w:val="32"/>
        </w:rPr>
        <w:t>。</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专业教师中“双师型”教师占比超过</w:t>
      </w:r>
      <w:r>
        <w:rPr>
          <w:rFonts w:ascii="黑体" w:hAnsi="黑体" w:eastAsia="黑体"/>
          <w:kern w:val="0"/>
          <w:sz w:val="32"/>
          <w:szCs w:val="32"/>
        </w:rPr>
        <w:t xml:space="preserve">50% </w:t>
      </w:r>
      <w:r>
        <w:rPr>
          <w:rFonts w:hint="eastAsia" w:ascii="黑体" w:hAnsi="黑体" w:eastAsia="黑体"/>
          <w:kern w:val="0"/>
          <w:sz w:val="32"/>
          <w:szCs w:val="32"/>
        </w:rPr>
        <w:t>牵头承接部门：人事处；共同承接部门：各系</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校企共建“双师型”教师培养培训基地和教师企业实践基地</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牵头承接部门：双创中心；共同承接部门：机电系</w:t>
      </w:r>
    </w:p>
    <w:p>
      <w:pPr>
        <w:widowControl/>
        <w:snapToGrid w:val="0"/>
        <w:spacing w:line="360" w:lineRule="auto"/>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（六）提升专业和课程教学质量</w:t>
      </w:r>
    </w:p>
    <w:p>
      <w:pPr>
        <w:widowControl/>
        <w:snapToGrid w:val="0"/>
        <w:spacing w:line="360" w:lineRule="auto"/>
        <w:ind w:firstLine="640" w:firstLineChars="200"/>
        <w:jc w:val="left"/>
        <w:rPr>
          <w:rFonts w:ascii="黑体" w:hAnsi="黑体" w:eastAsia="黑体"/>
          <w:kern w:val="0"/>
          <w:sz w:val="32"/>
          <w:szCs w:val="32"/>
        </w:rPr>
      </w:pPr>
      <w:r>
        <w:rPr>
          <w:rFonts w:hint="eastAsia" w:ascii="仿宋" w:hAnsi="仿宋" w:eastAsia="仿宋"/>
          <w:kern w:val="0"/>
          <w:sz w:val="32"/>
          <w:szCs w:val="32"/>
        </w:rPr>
        <w:t>依据国家战略和区域产业发展需求、学院发展目标及专业建设水平、就业质量等，合理规划引导专业设置，建立规范的专业增设及退出机制。完善人才培养方案公开制度，为行业指导、企业选择、学生学习、同行交流、社会监督提供便利。开发“课堂革命”典型案例</w:t>
      </w:r>
      <w:r>
        <w:rPr>
          <w:rFonts w:ascii="仿宋" w:hAnsi="仿宋" w:eastAsia="仿宋"/>
          <w:kern w:val="0"/>
          <w:sz w:val="32"/>
          <w:szCs w:val="32"/>
        </w:rPr>
        <w:t>1</w:t>
      </w:r>
      <w:r>
        <w:rPr>
          <w:rFonts w:hint="eastAsia" w:ascii="仿宋" w:hAnsi="仿宋" w:eastAsia="仿宋"/>
          <w:kern w:val="0"/>
          <w:sz w:val="32"/>
          <w:szCs w:val="32"/>
        </w:rPr>
        <w:t>个，推动“课堂革命”，适应生源多样化特点，将课程教学改革推向纵深。加强实践性教学，实践性教学学时占总学时数达到</w:t>
      </w:r>
      <w:r>
        <w:rPr>
          <w:rFonts w:ascii="仿宋" w:hAnsi="仿宋" w:eastAsia="仿宋"/>
          <w:kern w:val="0"/>
          <w:sz w:val="32"/>
          <w:szCs w:val="32"/>
        </w:rPr>
        <w:t>50%</w:t>
      </w:r>
      <w:r>
        <w:rPr>
          <w:rFonts w:hint="eastAsia" w:ascii="仿宋" w:hAnsi="仿宋" w:eastAsia="仿宋"/>
          <w:kern w:val="0"/>
          <w:sz w:val="32"/>
          <w:szCs w:val="32"/>
        </w:rPr>
        <w:t>以上。积极推行认知实习、跟岗实习、顶岗实习等多种实习方式，强化实习实训考核评价。完善国家、省、校三级教学能力比赛机制。</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建立和完善人才培养方案公开制度</w:t>
      </w:r>
      <w:r>
        <w:rPr>
          <w:rFonts w:ascii="黑体" w:hAnsi="黑体" w:eastAsia="黑体"/>
          <w:kern w:val="0"/>
          <w:sz w:val="32"/>
          <w:szCs w:val="32"/>
        </w:rPr>
        <w:t xml:space="preserve"> </w:t>
      </w:r>
      <w:r>
        <w:rPr>
          <w:rFonts w:hint="eastAsia" w:ascii="黑体" w:hAnsi="黑体" w:eastAsia="黑体"/>
          <w:kern w:val="0"/>
          <w:sz w:val="32"/>
          <w:szCs w:val="32"/>
        </w:rPr>
        <w:t>牵头承接部门：教务处；共同承接部门：各系</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健全国家、省、校三级教学能力比赛机制</w:t>
      </w:r>
      <w:r>
        <w:rPr>
          <w:rFonts w:ascii="黑体" w:hAnsi="黑体" w:eastAsia="黑体"/>
          <w:kern w:val="0"/>
          <w:sz w:val="32"/>
          <w:szCs w:val="32"/>
        </w:rPr>
        <w:t xml:space="preserve"> </w:t>
      </w:r>
      <w:r>
        <w:rPr>
          <w:rFonts w:hint="eastAsia" w:ascii="黑体" w:hAnsi="黑体" w:eastAsia="黑体"/>
          <w:kern w:val="0"/>
          <w:sz w:val="32"/>
          <w:szCs w:val="32"/>
        </w:rPr>
        <w:t>牵头承接部门：教务处；共同承接部门：各系部</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开发“课堂革命”典型案例</w:t>
      </w:r>
      <w:r>
        <w:rPr>
          <w:rFonts w:ascii="黑体" w:hAnsi="黑体" w:eastAsia="黑体"/>
          <w:kern w:val="0"/>
          <w:sz w:val="32"/>
          <w:szCs w:val="32"/>
        </w:rPr>
        <w:t>1</w:t>
      </w:r>
      <w:r>
        <w:rPr>
          <w:rFonts w:hint="eastAsia" w:ascii="黑体" w:hAnsi="黑体" w:eastAsia="黑体"/>
          <w:kern w:val="0"/>
          <w:sz w:val="32"/>
          <w:szCs w:val="32"/>
        </w:rPr>
        <w:t>个</w:t>
      </w:r>
      <w:r>
        <w:rPr>
          <w:rFonts w:ascii="黑体" w:hAnsi="黑体" w:eastAsia="黑体"/>
          <w:kern w:val="0"/>
          <w:sz w:val="32"/>
          <w:szCs w:val="32"/>
        </w:rPr>
        <w:t xml:space="preserve"> </w:t>
      </w:r>
      <w:r>
        <w:rPr>
          <w:rFonts w:hint="eastAsia" w:ascii="黑体" w:hAnsi="黑体" w:eastAsia="黑体"/>
          <w:kern w:val="0"/>
          <w:sz w:val="32"/>
          <w:szCs w:val="32"/>
        </w:rPr>
        <w:t>牵头承接部门：各系部</w:t>
      </w:r>
    </w:p>
    <w:p>
      <w:pPr>
        <w:widowControl/>
        <w:snapToGrid w:val="0"/>
        <w:spacing w:line="360" w:lineRule="auto"/>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（七）提升信息化建设水平</w:t>
      </w:r>
    </w:p>
    <w:p>
      <w:pPr>
        <w:widowControl/>
        <w:snapToGrid w:val="0"/>
        <w:spacing w:line="360" w:lineRule="auto"/>
        <w:ind w:firstLine="640" w:firstLineChars="200"/>
        <w:jc w:val="left"/>
        <w:rPr>
          <w:rFonts w:ascii="楷体" w:hAnsi="楷体" w:eastAsia="楷体" w:cs="楷体"/>
          <w:b/>
          <w:kern w:val="0"/>
          <w:sz w:val="32"/>
          <w:szCs w:val="32"/>
        </w:rPr>
      </w:pPr>
      <w:r>
        <w:rPr>
          <w:rFonts w:hint="eastAsia" w:ascii="仿宋" w:hAnsi="仿宋" w:eastAsia="仿宋"/>
          <w:kern w:val="0"/>
          <w:sz w:val="32"/>
          <w:szCs w:val="32"/>
        </w:rPr>
        <w:t>落实《职业院校数字校园规范》，推动数据中心建设，完善信息化整体解决方案，建设高水平智慧校园。加强信息化基础能力建设，统筹建设一体化智能化教学、管理与服务平台，落实网络安全责任制，增强网络与信息安全管控能力。推动信息技术和智能技术深度融入学院管理全过程，整体提高决策和管理的精准化科学化水平，努力建设成为职业教育信息化标杆学校。</w:t>
      </w:r>
    </w:p>
    <w:p>
      <w:pPr>
        <w:widowControl/>
        <w:snapToGrid w:val="0"/>
        <w:spacing w:line="360" w:lineRule="auto"/>
        <w:ind w:firstLine="640" w:firstLineChars="200"/>
        <w:jc w:val="left"/>
        <w:rPr>
          <w:rFonts w:hint="eastAsia" w:ascii="黑体" w:hAnsi="黑体" w:eastAsia="黑体"/>
          <w:kern w:val="0"/>
          <w:sz w:val="32"/>
          <w:szCs w:val="32"/>
        </w:rPr>
      </w:pPr>
      <w:r>
        <w:rPr>
          <w:rFonts w:hint="eastAsia" w:ascii="黑体" w:hAnsi="黑体" w:eastAsia="黑体"/>
          <w:kern w:val="0"/>
          <w:sz w:val="32"/>
          <w:szCs w:val="32"/>
        </w:rPr>
        <w:t>牵头承接部门：行政工作部</w:t>
      </w:r>
      <w:r>
        <w:rPr>
          <w:rFonts w:ascii="黑体" w:hAnsi="黑体" w:eastAsia="黑体"/>
          <w:kern w:val="0"/>
          <w:sz w:val="32"/>
          <w:szCs w:val="32"/>
        </w:rPr>
        <w:t xml:space="preserve">  </w:t>
      </w:r>
      <w:r>
        <w:rPr>
          <w:rFonts w:hint="eastAsia" w:ascii="黑体" w:hAnsi="黑体" w:eastAsia="黑体"/>
          <w:kern w:val="0"/>
          <w:sz w:val="32"/>
          <w:szCs w:val="32"/>
        </w:rPr>
        <w:t>信息中心；共同承接部门：学院各单位</w:t>
      </w:r>
    </w:p>
    <w:p>
      <w:pPr>
        <w:widowControl/>
        <w:snapToGrid w:val="0"/>
        <w:spacing w:line="360" w:lineRule="auto"/>
        <w:ind w:firstLine="643" w:firstLineChars="200"/>
        <w:rPr>
          <w:rFonts w:ascii="楷体" w:hAnsi="楷体" w:eastAsia="楷体"/>
          <w:b/>
          <w:kern w:val="0"/>
          <w:sz w:val="32"/>
          <w:szCs w:val="32"/>
        </w:rPr>
      </w:pPr>
      <w:r>
        <w:rPr>
          <w:rFonts w:hint="eastAsia" w:ascii="楷体" w:hAnsi="楷体" w:eastAsia="楷体"/>
          <w:b/>
          <w:kern w:val="0"/>
          <w:sz w:val="32"/>
          <w:szCs w:val="32"/>
        </w:rPr>
        <w:t>（八）推动信息技术与教育教学深度融合</w:t>
      </w:r>
    </w:p>
    <w:p>
      <w:pPr>
        <w:widowControl/>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主动适应科技革命和产业革命要求，以“信息技术</w:t>
      </w:r>
      <w:r>
        <w:rPr>
          <w:rFonts w:ascii="仿宋" w:hAnsi="仿宋" w:eastAsia="仿宋"/>
          <w:kern w:val="0"/>
          <w:sz w:val="32"/>
          <w:szCs w:val="32"/>
        </w:rPr>
        <w:t>+</w:t>
      </w:r>
      <w:r>
        <w:rPr>
          <w:rFonts w:hint="eastAsia" w:ascii="仿宋" w:hAnsi="仿宋" w:eastAsia="仿宋"/>
          <w:kern w:val="0"/>
          <w:sz w:val="32"/>
          <w:szCs w:val="32"/>
        </w:rPr>
        <w:t>”升级传统专业，做大做强现有专业，积极发展数字经济催生的新兴专业。充分利用现代信息技术推动人才培养模式改革，大力推进“互联网</w:t>
      </w:r>
      <w:r>
        <w:rPr>
          <w:rFonts w:ascii="仿宋" w:hAnsi="仿宋" w:eastAsia="仿宋"/>
          <w:kern w:val="0"/>
          <w:sz w:val="32"/>
          <w:szCs w:val="32"/>
        </w:rPr>
        <w:t>+</w:t>
      </w:r>
      <w:r>
        <w:rPr>
          <w:rFonts w:hint="eastAsia" w:ascii="仿宋" w:hAnsi="仿宋" w:eastAsia="仿宋"/>
          <w:kern w:val="0"/>
          <w:sz w:val="32"/>
          <w:szCs w:val="32"/>
        </w:rPr>
        <w:t>”“智能</w:t>
      </w:r>
      <w:r>
        <w:rPr>
          <w:rFonts w:ascii="仿宋" w:hAnsi="仿宋" w:eastAsia="仿宋"/>
          <w:kern w:val="0"/>
          <w:sz w:val="32"/>
          <w:szCs w:val="32"/>
        </w:rPr>
        <w:t>+</w:t>
      </w:r>
      <w:r>
        <w:rPr>
          <w:rFonts w:hint="eastAsia" w:ascii="仿宋" w:hAnsi="仿宋" w:eastAsia="仿宋"/>
          <w:kern w:val="0"/>
          <w:sz w:val="32"/>
          <w:szCs w:val="32"/>
        </w:rPr>
        <w:t>”教育新形态，满足学生的多样化学习需求。开展信息化全员培训，提升教师和管理人员的信息化能力，以及学生利用网络信息技术和优质在线资源进行自主学习的能力。面向公共基础课和量大面广的专业（技能）课，建设精品在线开放课程</w:t>
      </w:r>
      <w:r>
        <w:rPr>
          <w:rFonts w:ascii="仿宋" w:hAnsi="仿宋" w:eastAsia="仿宋"/>
          <w:kern w:val="0"/>
          <w:sz w:val="32"/>
          <w:szCs w:val="32"/>
        </w:rPr>
        <w:t>1</w:t>
      </w:r>
      <w:r>
        <w:rPr>
          <w:rFonts w:hint="eastAsia" w:ascii="仿宋" w:hAnsi="仿宋" w:eastAsia="仿宋"/>
          <w:kern w:val="0"/>
          <w:sz w:val="32"/>
          <w:szCs w:val="32"/>
        </w:rPr>
        <w:t>门。</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牵头承接部门：教务处；共同承接部门：信息中心</w:t>
      </w:r>
      <w:r>
        <w:rPr>
          <w:rFonts w:ascii="黑体" w:hAnsi="黑体" w:eastAsia="黑体"/>
          <w:kern w:val="0"/>
          <w:sz w:val="32"/>
          <w:szCs w:val="32"/>
        </w:rPr>
        <w:t xml:space="preserve">  </w:t>
      </w:r>
      <w:r>
        <w:rPr>
          <w:rFonts w:hint="eastAsia" w:ascii="黑体" w:hAnsi="黑体" w:eastAsia="黑体"/>
          <w:kern w:val="0"/>
          <w:sz w:val="32"/>
          <w:szCs w:val="32"/>
        </w:rPr>
        <w:t>各系部</w:t>
      </w:r>
    </w:p>
    <w:p>
      <w:pPr>
        <w:widowControl/>
        <w:snapToGrid w:val="0"/>
        <w:spacing w:line="360" w:lineRule="auto"/>
        <w:ind w:firstLine="643" w:firstLineChars="200"/>
        <w:rPr>
          <w:rFonts w:ascii="楷体" w:hAnsi="楷体" w:eastAsia="楷体"/>
          <w:b/>
          <w:kern w:val="0"/>
          <w:sz w:val="32"/>
          <w:szCs w:val="32"/>
        </w:rPr>
      </w:pPr>
      <w:r>
        <w:rPr>
          <w:rFonts w:hint="eastAsia" w:ascii="楷体" w:hAnsi="楷体" w:eastAsia="楷体"/>
          <w:b/>
          <w:kern w:val="0"/>
          <w:sz w:val="32"/>
          <w:szCs w:val="32"/>
        </w:rPr>
        <w:t>（九）加快培养国际化技能人才</w:t>
      </w:r>
    </w:p>
    <w:p>
      <w:pPr>
        <w:widowControl/>
        <w:snapToGrid w:val="0"/>
        <w:spacing w:line="360" w:lineRule="auto"/>
        <w:ind w:firstLine="640" w:firstLineChars="200"/>
        <w:rPr>
          <w:rFonts w:ascii="楷体" w:hAnsi="楷体" w:eastAsia="楷体"/>
          <w:b/>
          <w:kern w:val="0"/>
          <w:sz w:val="32"/>
          <w:szCs w:val="32"/>
        </w:rPr>
      </w:pPr>
      <w:r>
        <w:rPr>
          <w:rFonts w:hint="eastAsia" w:ascii="仿宋" w:hAnsi="仿宋" w:eastAsia="仿宋"/>
          <w:kern w:val="0"/>
          <w:sz w:val="32"/>
          <w:szCs w:val="32"/>
        </w:rPr>
        <w:t>加强与境外中资企业合作，主动走出去到国（境）外办学，在“一带一路”沿线国家建设“鲁班工坊”，校企合作共同培养熟悉中华传统文化、中资企业急需的本土技术技能人才。</w:t>
      </w:r>
    </w:p>
    <w:p>
      <w:pPr>
        <w:widowControl/>
        <w:snapToGrid w:val="0"/>
        <w:spacing w:line="360" w:lineRule="auto"/>
        <w:ind w:firstLine="640" w:firstLineChars="200"/>
        <w:jc w:val="left"/>
        <w:rPr>
          <w:rFonts w:ascii="黑体" w:hAnsi="黑体" w:eastAsia="黑体"/>
          <w:kern w:val="0"/>
          <w:sz w:val="32"/>
          <w:szCs w:val="32"/>
        </w:rPr>
      </w:pPr>
      <w:r>
        <w:rPr>
          <w:rFonts w:hint="eastAsia" w:ascii="黑体" w:hAnsi="黑体" w:eastAsia="黑体"/>
          <w:kern w:val="0"/>
          <w:sz w:val="32"/>
          <w:szCs w:val="32"/>
        </w:rPr>
        <w:t>牵头承接部门：国际教育系；共同承接部门：其他各系</w:t>
      </w:r>
    </w:p>
    <w:p>
      <w:pPr>
        <w:widowControl/>
        <w:snapToGrid w:val="0"/>
        <w:spacing w:line="360" w:lineRule="auto"/>
        <w:ind w:firstLine="640" w:firstLineChars="200"/>
        <w:jc w:val="left"/>
        <w:rPr>
          <w:rFonts w:ascii="黑体" w:hAnsi="黑体" w:eastAsia="黑体" w:cs="黑体"/>
          <w:b w:val="0"/>
          <w:bCs w:val="0"/>
          <w:color w:val="000000" w:themeColor="text1"/>
          <w:kern w:val="0"/>
          <w:sz w:val="32"/>
          <w:szCs w:val="32"/>
        </w:rPr>
      </w:pPr>
      <w:r>
        <w:rPr>
          <w:rFonts w:hint="eastAsia" w:ascii="黑体" w:hAnsi="黑体" w:eastAsia="黑体" w:cs="黑体"/>
          <w:b w:val="0"/>
          <w:bCs w:val="0"/>
          <w:color w:val="000000" w:themeColor="text1"/>
          <w:kern w:val="0"/>
          <w:sz w:val="32"/>
          <w:szCs w:val="32"/>
        </w:rPr>
        <w:t>三、组织实施</w:t>
      </w:r>
    </w:p>
    <w:p>
      <w:pPr>
        <w:widowControl/>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（一）加强组织领导</w:t>
      </w:r>
    </w:p>
    <w:p>
      <w:pPr>
        <w:widowControl/>
        <w:shd w:val="clear" w:color="auto" w:fill="FFFFFF"/>
        <w:spacing w:line="360" w:lineRule="auto"/>
        <w:ind w:firstLine="640" w:firstLineChars="200"/>
        <w:jc w:val="left"/>
        <w:rPr>
          <w:rFonts w:hint="eastAsia" w:ascii="仿宋" w:hAnsi="仿宋" w:eastAsia="仿宋"/>
          <w:kern w:val="0"/>
          <w:sz w:val="32"/>
          <w:szCs w:val="32"/>
        </w:rPr>
      </w:pPr>
      <w:r>
        <w:rPr>
          <w:rFonts w:hint="eastAsia" w:ascii="仿宋" w:hAnsi="仿宋" w:eastAsia="仿宋"/>
          <w:kern w:val="0"/>
          <w:sz w:val="32"/>
          <w:szCs w:val="32"/>
        </w:rPr>
        <w:t>成立学院提质培优行动计划领导小组，学院党政主要领导任组长，其他院级领导为成员，全面加强对提质培优工作的领导、协调、推进和监督。</w:t>
      </w:r>
    </w:p>
    <w:p>
      <w:pPr>
        <w:widowControl/>
        <w:shd w:val="clear" w:color="auto" w:fill="FFFFFF"/>
        <w:spacing w:line="360" w:lineRule="auto"/>
        <w:ind w:firstLine="640" w:firstLineChars="200"/>
        <w:jc w:val="left"/>
        <w:rPr>
          <w:rFonts w:ascii="仿宋" w:hAnsi="仿宋" w:eastAsia="仿宋"/>
          <w:kern w:val="0"/>
          <w:sz w:val="32"/>
          <w:szCs w:val="32"/>
          <w:highlight w:val="yellow"/>
        </w:rPr>
      </w:pPr>
      <w:r>
        <w:rPr>
          <w:rFonts w:hint="eastAsia" w:ascii="仿宋" w:hAnsi="仿宋" w:eastAsia="仿宋"/>
          <w:kern w:val="0"/>
          <w:sz w:val="32"/>
          <w:szCs w:val="32"/>
        </w:rPr>
        <w:t>提质培优行动计划领导小组办公室设在教务处，副院长徐玉民担任办公室主任，全面做好提质培优日常组织、研讨、督查、考核、资料服务等工作。</w:t>
      </w:r>
    </w:p>
    <w:p>
      <w:pPr>
        <w:widowControl/>
        <w:numPr>
          <w:ilvl w:val="0"/>
          <w:numId w:val="1"/>
        </w:numPr>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强化项目（任务）管理</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实行项目负责人负责制及项目所在单位主要负责人共同负责制。相关系部处室根据学院承接任务建立项目组，确定项目负责人，并签订承接建设项目（任务）责任书。项目组要严格按计划完成项目（任务）建设，加强实施过程控制，做到分工明确，责任到人、监管到位。项目（任务）所在单位要加强指导、检查并监督建设项目的实施，严格执行内部审核制度，为项目（任务）实施小组提供时间、条件、人力、物力等有力支持。落实项目（任务）建设奖惩激励机制，学院将项目完成情况作为考核相关单位和责任人的重要指标，并与评优评先、年度考核、绩效分配直接挂钩。对项目建设取得良好成效的相关人员，根据对项目的贡献大小给予适当奖励。</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项目（任务）建设方案要合理分配时间，合理安排建设进度，清晰标明分年度建设工作目标。每季进行小结、每年进行绩效评价、项目进行中期检查评估、结题进行总体绩效评估</w:t>
      </w:r>
      <w:r>
        <w:rPr>
          <w:rFonts w:hint="eastAsia" w:ascii="仿宋" w:hAnsi="仿宋" w:eastAsia="仿宋"/>
          <w:kern w:val="0"/>
          <w:sz w:val="32"/>
          <w:szCs w:val="32"/>
          <w:lang w:eastAsia="zh-CN"/>
        </w:rPr>
        <w:t>。</w:t>
      </w:r>
      <w:r>
        <w:rPr>
          <w:rFonts w:hint="eastAsia" w:ascii="仿宋" w:hAnsi="仿宋" w:eastAsia="仿宋"/>
          <w:kern w:val="0"/>
          <w:sz w:val="32"/>
          <w:szCs w:val="32"/>
        </w:rPr>
        <w:t>至少每个季度进行一次调度分析，把控进度情况、项目经费使用、质量和效益等情况，认真总结经验成果，发现问题及时纠正，并对取得的经验进行推广。</w:t>
      </w:r>
    </w:p>
    <w:p>
      <w:pPr>
        <w:widowControl/>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（三）加强资金支持和监管</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在中央、省财政资金支持基础上，积极争取行业企业资金投入，学院配套相关资金，共同支持项目（任务）建设，形成政府投入、公司（学院）自筹、社会支持的多元化投入机制。要制订科学详细的资金使用计划，强化事前充分论证、事中监控管理指导、事后效益监测评价的全过程监控和考核。资金使用要严格执行财经纪律和经费管理制度，实行专款专用、统一管理。项目（任务）所在单位和项目组对资金使用实行全过程管理，精打细算，厉行节约，不断提高专项资金的使用效益，确保承接任务目标的圆满实现，并对专项资金支出的真实性、合理性、效益性负责。要加强资金使用监管，由财务处对资金使用计划和使用情况进行监控和审计，每个年度进行资金使用情况检查。</w:t>
      </w:r>
      <w:r>
        <w:rPr>
          <w:rFonts w:ascii="仿宋" w:hAnsi="仿宋" w:eastAsia="仿宋"/>
          <w:kern w:val="0"/>
          <w:sz w:val="32"/>
          <w:szCs w:val="32"/>
        </w:rPr>
        <w:t xml:space="preserve"> </w:t>
      </w:r>
    </w:p>
    <w:p>
      <w:pPr>
        <w:widowControl/>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（四）完善协同推进机制</w:t>
      </w:r>
    </w:p>
    <w:p>
      <w:pPr>
        <w:widowControl/>
        <w:snapToGrid w:val="0"/>
        <w:spacing w:line="360" w:lineRule="auto"/>
        <w:ind w:firstLine="640" w:firstLineChars="200"/>
        <w:jc w:val="left"/>
        <w:rPr>
          <w:rFonts w:hint="eastAsia" w:ascii="仿宋" w:hAnsi="仿宋" w:eastAsia="仿宋"/>
          <w:kern w:val="0"/>
          <w:sz w:val="32"/>
          <w:szCs w:val="32"/>
          <w:lang w:eastAsia="zh-CN"/>
        </w:rPr>
      </w:pPr>
      <w:r>
        <w:rPr>
          <w:rFonts w:hint="eastAsia" w:ascii="仿宋" w:hAnsi="仿宋" w:eastAsia="仿宋"/>
          <w:kern w:val="0"/>
          <w:sz w:val="32"/>
          <w:szCs w:val="32"/>
        </w:rPr>
        <w:t>各单位要积极</w:t>
      </w:r>
      <w:r>
        <w:rPr>
          <w:rFonts w:hint="eastAsia" w:ascii="仿宋" w:hAnsi="仿宋" w:eastAsia="仿宋"/>
          <w:kern w:val="0"/>
          <w:sz w:val="32"/>
          <w:szCs w:val="32"/>
          <w:lang w:eastAsia="zh-CN"/>
        </w:rPr>
        <w:t>落实承接项目（任务），制定工作方案，将提质培优行动计划与创新发展行动计划、“双高”建设、“十四五”事业发展同规划、学院年度工作计划同</w:t>
      </w:r>
      <w:r>
        <w:rPr>
          <w:rFonts w:hint="eastAsia" w:ascii="仿宋" w:hAnsi="仿宋" w:eastAsia="仿宋"/>
          <w:kern w:val="0"/>
          <w:sz w:val="32"/>
          <w:szCs w:val="32"/>
        </w:rPr>
        <w:t>部署、同考核，确保各个项目（任务）顺利落地实施、协同推进、形成发展合力，</w:t>
      </w:r>
      <w:r>
        <w:rPr>
          <w:rFonts w:hint="eastAsia" w:ascii="仿宋" w:hAnsi="仿宋" w:eastAsia="仿宋"/>
          <w:kern w:val="0"/>
          <w:sz w:val="32"/>
          <w:szCs w:val="32"/>
          <w:lang w:eastAsia="zh-CN"/>
        </w:rPr>
        <w:t>努力产生标志性成果。各牵头单位要协调相关承接单位加强项目（任务）标准研究、确保各项目（任务）如期完成，取得预期成果。</w:t>
      </w:r>
    </w:p>
    <w:p>
      <w:pPr>
        <w:widowControl/>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（五）营造良好发展氛围</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通过多种途径，大力宣传提质培优行动计划。聘请专家，开展提质培优专题讲座。积极参加全国、省职业院校技能大赛，发挥以赛促教促学的引领作用。办好职业教育活动周等活动，深入开展“大国工匠进校园”“劳模进校园”“优秀职校生校园分享”等活动。常态化开展校园开放、职业体验、面向社会的便民服务等宣传展示及服务活动，多渠道宣传提质培优行动和学院办学成果，提升学院影响力和美誉度。</w:t>
      </w:r>
    </w:p>
    <w:p>
      <w:pPr>
        <w:widowControl/>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四、工作安排</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2020</w:t>
      </w:r>
      <w:r>
        <w:rPr>
          <w:rFonts w:hint="eastAsia" w:ascii="仿宋" w:hAnsi="仿宋" w:eastAsia="仿宋"/>
          <w:kern w:val="0"/>
          <w:sz w:val="32"/>
          <w:szCs w:val="32"/>
        </w:rPr>
        <w:t>年</w:t>
      </w:r>
      <w:r>
        <w:rPr>
          <w:rFonts w:ascii="仿宋" w:hAnsi="仿宋" w:eastAsia="仿宋"/>
          <w:kern w:val="0"/>
          <w:sz w:val="32"/>
          <w:szCs w:val="32"/>
        </w:rPr>
        <w:t>12</w:t>
      </w:r>
      <w:r>
        <w:rPr>
          <w:rFonts w:hint="eastAsia" w:ascii="仿宋" w:hAnsi="仿宋" w:eastAsia="仿宋"/>
          <w:kern w:val="0"/>
          <w:sz w:val="32"/>
          <w:szCs w:val="32"/>
        </w:rPr>
        <w:t>月</w:t>
      </w:r>
      <w:r>
        <w:rPr>
          <w:rFonts w:ascii="仿宋" w:hAnsi="仿宋" w:eastAsia="仿宋"/>
          <w:kern w:val="0"/>
          <w:sz w:val="32"/>
          <w:szCs w:val="32"/>
        </w:rPr>
        <w:t>30</w:t>
      </w:r>
      <w:r>
        <w:rPr>
          <w:rFonts w:hint="eastAsia" w:ascii="仿宋" w:hAnsi="仿宋" w:eastAsia="仿宋"/>
          <w:kern w:val="0"/>
          <w:sz w:val="32"/>
          <w:szCs w:val="32"/>
        </w:rPr>
        <w:t>日前，各系部处室认领承接省级项目（任务），成立项目（任务）团队，部门领导、教研室主任、专业带头人优先承担项目（任务）建设任务，精选优秀教师、职工参与项目（任务）建设。</w:t>
      </w:r>
    </w:p>
    <w:p>
      <w:pPr>
        <w:widowControl/>
        <w:snapToGrid w:val="0"/>
        <w:spacing w:line="360" w:lineRule="auto"/>
        <w:ind w:firstLine="630" w:firstLineChars="300"/>
        <w:jc w:val="left"/>
        <w:rPr>
          <w:rFonts w:ascii="仿宋" w:hAnsi="仿宋" w:eastAsia="仿宋"/>
          <w:kern w:val="0"/>
          <w:sz w:val="32"/>
          <w:szCs w:val="32"/>
        </w:rPr>
      </w:pPr>
      <w:r>
        <w:fldChar w:fldCharType="begin"/>
      </w:r>
      <w:r>
        <w:instrText xml:space="preserve"> HYPERLINK "mailto:（二）2021年1月4日前，各承接省级项目（任务）团队起草建设方案，系部处室主要负责人进行认真审核签字，提交学院提质培优行动计划领导小组办公室，电子版发至xmjs@tsvtc.edu.cn。" </w:instrText>
      </w:r>
      <w:r>
        <w:fldChar w:fldCharType="separate"/>
      </w:r>
      <w:r>
        <w:rPr>
          <w:rFonts w:hint="eastAsia" w:ascii="仿宋" w:hAnsi="仿宋" w:eastAsia="仿宋"/>
          <w:kern w:val="0"/>
          <w:sz w:val="32"/>
          <w:szCs w:val="32"/>
        </w:rPr>
        <w:t>（二）</w:t>
      </w:r>
      <w:r>
        <w:rPr>
          <w:rFonts w:ascii="仿宋" w:hAnsi="仿宋" w:eastAsia="仿宋"/>
          <w:kern w:val="0"/>
          <w:sz w:val="32"/>
          <w:szCs w:val="32"/>
        </w:rPr>
        <w:t>2021</w:t>
      </w:r>
      <w:r>
        <w:rPr>
          <w:rFonts w:hint="eastAsia" w:ascii="仿宋" w:hAnsi="仿宋" w:eastAsia="仿宋"/>
          <w:kern w:val="0"/>
          <w:sz w:val="32"/>
          <w:szCs w:val="32"/>
        </w:rPr>
        <w:t>年</w:t>
      </w:r>
      <w:r>
        <w:rPr>
          <w:rFonts w:ascii="仿宋" w:hAnsi="仿宋" w:eastAsia="仿宋"/>
          <w:kern w:val="0"/>
          <w:sz w:val="32"/>
          <w:szCs w:val="32"/>
        </w:rPr>
        <w:t>1</w:t>
      </w:r>
      <w:r>
        <w:rPr>
          <w:rFonts w:hint="eastAsia" w:ascii="仿宋" w:hAnsi="仿宋" w:eastAsia="仿宋"/>
          <w:kern w:val="0"/>
          <w:sz w:val="32"/>
          <w:szCs w:val="32"/>
        </w:rPr>
        <w:t>月</w:t>
      </w:r>
      <w:r>
        <w:rPr>
          <w:rFonts w:ascii="仿宋" w:hAnsi="仿宋" w:eastAsia="仿宋"/>
          <w:kern w:val="0"/>
          <w:sz w:val="32"/>
          <w:szCs w:val="32"/>
        </w:rPr>
        <w:t>10</w:t>
      </w:r>
      <w:r>
        <w:rPr>
          <w:rFonts w:hint="eastAsia" w:ascii="仿宋" w:hAnsi="仿宋" w:eastAsia="仿宋"/>
          <w:kern w:val="0"/>
          <w:sz w:val="32"/>
          <w:szCs w:val="32"/>
        </w:rPr>
        <w:t>日前，各承接项目（任务）团队按照项目（任务）要求起草建设方案，提交学院提质培优行动计划领导小组办公室（电子版）。</w:t>
      </w:r>
      <w:r>
        <w:rPr>
          <w:rFonts w:hint="eastAsia" w:ascii="仿宋" w:hAnsi="仿宋" w:eastAsia="仿宋"/>
          <w:kern w:val="0"/>
          <w:sz w:val="32"/>
          <w:szCs w:val="32"/>
        </w:rPr>
        <w:fldChar w:fldCharType="end"/>
      </w:r>
    </w:p>
    <w:p>
      <w:pPr>
        <w:widowControl/>
        <w:snapToGrid w:val="0"/>
        <w:spacing w:line="360" w:lineRule="auto"/>
        <w:ind w:firstLine="640" w:firstLineChars="200"/>
        <w:jc w:val="left"/>
        <w:rPr>
          <w:rFonts w:hint="eastAsia" w:ascii="仿宋" w:hAnsi="仿宋" w:eastAsia="仿宋"/>
          <w:kern w:val="0"/>
          <w:sz w:val="32"/>
          <w:szCs w:val="32"/>
          <w:lang w:eastAsia="zh-CN"/>
        </w:rPr>
      </w:pPr>
      <w:r>
        <w:rPr>
          <w:rFonts w:hint="eastAsia" w:ascii="仿宋" w:hAnsi="仿宋" w:eastAsia="仿宋"/>
          <w:kern w:val="0"/>
          <w:sz w:val="32"/>
          <w:szCs w:val="32"/>
          <w:lang w:eastAsia="zh-CN"/>
        </w:rPr>
        <w:t>（三）学院提质培优行动计划领导小组办公室组织有关专家对各建设方案进行初步审核遴选并2021年1月20日前反馈意见，项目承接单位进一步修改完善。</w:t>
      </w:r>
    </w:p>
    <w:p>
      <w:pPr>
        <w:widowControl/>
        <w:snapToGrid w:val="0"/>
        <w:spacing w:line="360" w:lineRule="auto"/>
        <w:ind w:firstLine="640" w:firstLineChars="200"/>
        <w:jc w:val="left"/>
        <w:rPr>
          <w:rFonts w:hint="eastAsia" w:ascii="仿宋" w:hAnsi="仿宋" w:eastAsia="仿宋"/>
          <w:kern w:val="0"/>
          <w:sz w:val="32"/>
          <w:szCs w:val="32"/>
          <w:lang w:eastAsia="zh-CN"/>
        </w:rPr>
      </w:pPr>
      <w:r>
        <w:rPr>
          <w:rFonts w:hint="eastAsia" w:ascii="仿宋" w:hAnsi="仿宋" w:eastAsia="仿宋"/>
          <w:kern w:val="0"/>
          <w:sz w:val="32"/>
          <w:szCs w:val="32"/>
          <w:lang w:eastAsia="zh-CN"/>
        </w:rPr>
        <w:t>（四）2021年1月30日，修改后的项目（任务）建设方案提交学院提质培优行动计划领导小组审议。</w:t>
      </w:r>
    </w:p>
    <w:p>
      <w:pPr>
        <w:widowControl/>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（五）上述要求均以河北省教育厅规定为准。</w:t>
      </w:r>
    </w:p>
    <w:p>
      <w:pPr>
        <w:widowControl/>
        <w:snapToGrid w:val="0"/>
        <w:spacing w:line="360" w:lineRule="auto"/>
        <w:ind w:firstLine="640" w:firstLineChars="200"/>
        <w:jc w:val="left"/>
        <w:rPr>
          <w:rFonts w:ascii="仿宋" w:hAnsi="仿宋" w:eastAsia="仿宋"/>
          <w:kern w:val="0"/>
          <w:sz w:val="32"/>
          <w:szCs w:val="32"/>
        </w:rPr>
      </w:pPr>
    </w:p>
    <w:p>
      <w:pPr>
        <w:widowControl/>
        <w:snapToGrid w:val="0"/>
        <w:spacing w:line="360" w:lineRule="auto"/>
        <w:ind w:firstLine="600" w:firstLineChars="200"/>
        <w:jc w:val="left"/>
        <w:rPr>
          <w:rFonts w:ascii="仿宋" w:hAnsi="仿宋" w:eastAsia="仿宋"/>
          <w:kern w:val="0"/>
          <w:sz w:val="30"/>
          <w:szCs w:val="30"/>
        </w:rPr>
      </w:pPr>
      <w:r>
        <w:rPr>
          <w:rFonts w:hint="eastAsia" w:ascii="仿宋" w:hAnsi="仿宋" w:eastAsia="仿宋"/>
          <w:kern w:val="0"/>
          <w:sz w:val="30"/>
          <w:szCs w:val="30"/>
        </w:rPr>
        <w:t>附件：</w:t>
      </w:r>
      <w:r>
        <w:rPr>
          <w:rFonts w:ascii="仿宋" w:hAnsi="仿宋" w:eastAsia="仿宋"/>
          <w:kern w:val="0"/>
          <w:sz w:val="30"/>
          <w:szCs w:val="30"/>
        </w:rPr>
        <w:t>1.</w:t>
      </w:r>
      <w:r>
        <w:rPr>
          <w:rFonts w:hint="eastAsia" w:ascii="仿宋" w:hAnsi="仿宋" w:eastAsia="仿宋"/>
          <w:kern w:val="0"/>
          <w:sz w:val="32"/>
          <w:szCs w:val="32"/>
        </w:rPr>
        <w:t>提质培优行动计划</w:t>
      </w:r>
      <w:r>
        <w:rPr>
          <w:rFonts w:hint="eastAsia" w:ascii="仿宋" w:hAnsi="仿宋" w:eastAsia="仿宋"/>
          <w:kern w:val="0"/>
          <w:sz w:val="30"/>
          <w:szCs w:val="30"/>
        </w:rPr>
        <w:t>承接任务（项目）一览表</w:t>
      </w:r>
    </w:p>
    <w:p>
      <w:pPr>
        <w:widowControl/>
        <w:snapToGrid w:val="0"/>
        <w:spacing w:line="360" w:lineRule="auto"/>
        <w:ind w:firstLine="600" w:firstLineChars="200"/>
        <w:jc w:val="left"/>
        <w:rPr>
          <w:rFonts w:ascii="仿宋" w:hAnsi="仿宋" w:eastAsia="仿宋"/>
          <w:kern w:val="0"/>
          <w:sz w:val="32"/>
          <w:szCs w:val="32"/>
        </w:rPr>
      </w:pPr>
      <w:r>
        <w:rPr>
          <w:rFonts w:ascii="仿宋" w:hAnsi="仿宋" w:eastAsia="仿宋"/>
          <w:kern w:val="0"/>
          <w:sz w:val="30"/>
          <w:szCs w:val="30"/>
        </w:rPr>
        <w:t xml:space="preserve">      </w:t>
      </w:r>
      <w:r>
        <w:rPr>
          <w:rFonts w:ascii="仿宋" w:hAnsi="仿宋" w:eastAsia="仿宋"/>
          <w:kern w:val="0"/>
          <w:sz w:val="32"/>
          <w:szCs w:val="32"/>
        </w:rPr>
        <w:t>2.</w:t>
      </w:r>
      <w:r>
        <w:rPr>
          <w:rFonts w:hint="eastAsia" w:ascii="仿宋" w:hAnsi="仿宋" w:eastAsia="仿宋"/>
          <w:kern w:val="0"/>
          <w:sz w:val="32"/>
          <w:szCs w:val="32"/>
        </w:rPr>
        <w:t>建设方案编写指南</w:t>
      </w:r>
    </w:p>
    <w:p>
      <w:pPr>
        <w:widowControl/>
        <w:snapToGrid w:val="0"/>
        <w:spacing w:line="360" w:lineRule="auto"/>
        <w:ind w:firstLine="640" w:firstLineChars="200"/>
        <w:jc w:val="left"/>
        <w:rPr>
          <w:rFonts w:ascii="仿宋" w:hAnsi="仿宋" w:eastAsia="仿宋"/>
          <w:kern w:val="0"/>
          <w:sz w:val="32"/>
          <w:szCs w:val="32"/>
        </w:rPr>
      </w:pPr>
    </w:p>
    <w:p>
      <w:pPr>
        <w:widowControl/>
        <w:snapToGrid w:val="0"/>
        <w:spacing w:line="360" w:lineRule="auto"/>
        <w:ind w:firstLine="640" w:firstLineChars="200"/>
        <w:jc w:val="left"/>
        <w:rPr>
          <w:rFonts w:ascii="仿宋" w:hAnsi="仿宋" w:eastAsia="仿宋"/>
          <w:kern w:val="0"/>
          <w:sz w:val="32"/>
          <w:szCs w:val="32"/>
        </w:rPr>
      </w:pPr>
    </w:p>
    <w:p>
      <w:pPr>
        <w:widowControl/>
        <w:snapToGrid w:val="0"/>
        <w:spacing w:line="360" w:lineRule="auto"/>
        <w:ind w:right="600" w:firstLine="3300" w:firstLineChars="1100"/>
        <w:jc w:val="right"/>
        <w:rPr>
          <w:rFonts w:ascii="仿宋" w:hAnsi="仿宋" w:eastAsia="仿宋"/>
          <w:kern w:val="0"/>
          <w:sz w:val="32"/>
          <w:szCs w:val="32"/>
        </w:rPr>
      </w:pPr>
      <w:r>
        <w:rPr>
          <w:rFonts w:ascii="仿宋" w:hAnsi="仿宋" w:eastAsia="仿宋"/>
          <w:kern w:val="0"/>
          <w:sz w:val="30"/>
          <w:szCs w:val="30"/>
        </w:rPr>
        <w:t>202</w:t>
      </w:r>
      <w:r>
        <w:rPr>
          <w:rFonts w:hint="eastAsia" w:ascii="仿宋" w:hAnsi="仿宋" w:eastAsia="仿宋"/>
          <w:kern w:val="0"/>
          <w:sz w:val="30"/>
          <w:szCs w:val="30"/>
          <w:lang w:val="en-US" w:eastAsia="zh-CN"/>
        </w:rPr>
        <w:t>1</w:t>
      </w:r>
      <w:r>
        <w:rPr>
          <w:rFonts w:hint="eastAsia" w:ascii="仿宋" w:hAnsi="仿宋" w:eastAsia="仿宋"/>
          <w:kern w:val="0"/>
          <w:sz w:val="30"/>
          <w:szCs w:val="30"/>
        </w:rPr>
        <w:t>年</w:t>
      </w:r>
      <w:r>
        <w:rPr>
          <w:rFonts w:hint="eastAsia" w:ascii="仿宋" w:hAnsi="仿宋" w:eastAsia="仿宋"/>
          <w:kern w:val="0"/>
          <w:sz w:val="30"/>
          <w:szCs w:val="30"/>
          <w:lang w:val="en-US" w:eastAsia="zh-CN"/>
        </w:rPr>
        <w:t>1</w:t>
      </w:r>
      <w:r>
        <w:rPr>
          <w:rFonts w:hint="eastAsia" w:ascii="仿宋" w:hAnsi="仿宋" w:eastAsia="仿宋"/>
          <w:kern w:val="0"/>
          <w:sz w:val="30"/>
          <w:szCs w:val="30"/>
        </w:rPr>
        <w:t>月</w:t>
      </w:r>
      <w:r>
        <w:rPr>
          <w:rFonts w:hint="eastAsia" w:ascii="仿宋" w:hAnsi="仿宋" w:eastAsia="仿宋"/>
          <w:kern w:val="0"/>
          <w:sz w:val="30"/>
          <w:szCs w:val="30"/>
          <w:lang w:val="en-US" w:eastAsia="zh-CN"/>
        </w:rPr>
        <w:t>4</w:t>
      </w:r>
      <w:r>
        <w:rPr>
          <w:rFonts w:hint="eastAsia" w:ascii="仿宋" w:hAnsi="仿宋" w:eastAsia="仿宋"/>
          <w:kern w:val="0"/>
          <w:sz w:val="30"/>
          <w:szCs w:val="30"/>
        </w:rPr>
        <w:t>日</w:t>
      </w:r>
    </w:p>
    <w:p>
      <w:pPr>
        <w:widowControl/>
        <w:snapToGrid w:val="0"/>
        <w:spacing w:line="360" w:lineRule="auto"/>
        <w:ind w:firstLine="640" w:firstLineChars="200"/>
        <w:jc w:val="left"/>
        <w:rPr>
          <w:rFonts w:ascii="仿宋" w:hAnsi="仿宋" w:eastAsia="仿宋"/>
          <w:kern w:val="0"/>
          <w:sz w:val="32"/>
          <w:szCs w:val="32"/>
        </w:rPr>
      </w:pPr>
    </w:p>
    <w:p>
      <w:pPr>
        <w:widowControl/>
        <w:snapToGrid w:val="0"/>
        <w:spacing w:line="360" w:lineRule="auto"/>
        <w:jc w:val="left"/>
        <w:rPr>
          <w:rFonts w:ascii="仿宋" w:hAnsi="仿宋" w:eastAsia="仿宋"/>
          <w:kern w:val="0"/>
          <w:sz w:val="30"/>
          <w:szCs w:val="30"/>
        </w:rPr>
        <w:sectPr>
          <w:footerReference r:id="rId3" w:type="default"/>
          <w:pgSz w:w="11906" w:h="16838"/>
          <w:pgMar w:top="1417" w:right="1417" w:bottom="1417" w:left="1417" w:header="851" w:footer="992" w:gutter="0"/>
          <w:pgNumType w:fmt="numberInDash"/>
          <w:cols w:space="425" w:num="1"/>
          <w:docGrid w:type="lines" w:linePitch="312" w:charSpace="0"/>
        </w:sectPr>
      </w:pPr>
    </w:p>
    <w:p>
      <w:pPr>
        <w:widowControl/>
        <w:snapToGrid w:val="0"/>
        <w:spacing w:line="360" w:lineRule="auto"/>
        <w:jc w:val="lef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widowControl/>
        <w:snapToGrid w:val="0"/>
        <w:spacing w:line="360" w:lineRule="auto"/>
        <w:jc w:val="center"/>
        <w:rPr>
          <w:rFonts w:ascii="宋体" w:cs="宋体"/>
          <w:b/>
          <w:bCs/>
          <w:kern w:val="0"/>
          <w:sz w:val="32"/>
          <w:szCs w:val="32"/>
        </w:rPr>
      </w:pPr>
      <w:r>
        <w:rPr>
          <w:rFonts w:hint="eastAsia" w:ascii="宋体" w:hAnsi="宋体" w:cs="宋体"/>
          <w:b/>
          <w:bCs/>
          <w:kern w:val="0"/>
          <w:sz w:val="32"/>
          <w:szCs w:val="32"/>
        </w:rPr>
        <w:t>提质培优行动计划承接任务（项目）一览表</w:t>
      </w:r>
    </w:p>
    <w:tbl>
      <w:tblPr>
        <w:tblStyle w:val="5"/>
        <w:tblW w:w="4362" w:type="pct"/>
        <w:jc w:val="center"/>
        <w:tblLayout w:type="autofit"/>
        <w:tblCellMar>
          <w:top w:w="0" w:type="dxa"/>
          <w:left w:w="0" w:type="dxa"/>
          <w:bottom w:w="0" w:type="dxa"/>
          <w:right w:w="0" w:type="dxa"/>
        </w:tblCellMar>
      </w:tblPr>
      <w:tblGrid>
        <w:gridCol w:w="266"/>
        <w:gridCol w:w="512"/>
        <w:gridCol w:w="3956"/>
        <w:gridCol w:w="608"/>
        <w:gridCol w:w="549"/>
        <w:gridCol w:w="634"/>
        <w:gridCol w:w="622"/>
        <w:gridCol w:w="742"/>
        <w:gridCol w:w="735"/>
        <w:gridCol w:w="813"/>
        <w:gridCol w:w="578"/>
        <w:gridCol w:w="752"/>
        <w:gridCol w:w="817"/>
        <w:gridCol w:w="610"/>
      </w:tblGrid>
      <w:tr>
        <w:tblPrEx>
          <w:tblCellMar>
            <w:top w:w="0" w:type="dxa"/>
            <w:left w:w="0" w:type="dxa"/>
            <w:bottom w:w="0" w:type="dxa"/>
            <w:right w:w="0" w:type="dxa"/>
          </w:tblCellMar>
        </w:tblPrEx>
        <w:trPr>
          <w:trHeight w:val="570" w:hRule="atLeast"/>
          <w:jc w:val="center"/>
        </w:trPr>
        <w:tc>
          <w:tcPr>
            <w:tcW w:w="319" w:type="pct"/>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lang w:val="en-US" w:eastAsia="zh-CN"/>
              </w:rPr>
              <w:t>项目</w:t>
            </w:r>
            <w:bookmarkStart w:id="0" w:name="_GoBack"/>
            <w:bookmarkEnd w:id="0"/>
            <w:r>
              <w:rPr>
                <w:rFonts w:hint="eastAsia" w:ascii="宋体" w:hAnsi="宋体" w:cs="宋体"/>
                <w:b/>
                <w:color w:val="000000"/>
                <w:kern w:val="0"/>
                <w:sz w:val="24"/>
                <w:szCs w:val="24"/>
              </w:rPr>
              <w:t>号</w:t>
            </w:r>
          </w:p>
        </w:tc>
        <w:tc>
          <w:tcPr>
            <w:tcW w:w="1621" w:type="pct"/>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工作任务</w:t>
            </w:r>
          </w:p>
        </w:tc>
        <w:tc>
          <w:tcPr>
            <w:tcW w:w="249" w:type="pct"/>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是否承接</w:t>
            </w:r>
          </w:p>
        </w:tc>
        <w:tc>
          <w:tcPr>
            <w:tcW w:w="225" w:type="pct"/>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承接数量</w:t>
            </w:r>
          </w:p>
        </w:tc>
        <w:tc>
          <w:tcPr>
            <w:tcW w:w="1453"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预计投入经费（单位：万元）</w:t>
            </w:r>
          </w:p>
        </w:tc>
        <w:tc>
          <w:tcPr>
            <w:tcW w:w="237" w:type="pct"/>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省厅审核情况</w:t>
            </w:r>
          </w:p>
        </w:tc>
        <w:tc>
          <w:tcPr>
            <w:tcW w:w="30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牵头部门</w:t>
            </w:r>
          </w:p>
        </w:tc>
        <w:tc>
          <w:tcPr>
            <w:tcW w:w="335"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共同承接部门</w:t>
            </w:r>
          </w:p>
        </w:tc>
        <w:tc>
          <w:tcPr>
            <w:tcW w:w="250"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szCs w:val="24"/>
              </w:rPr>
              <w:t>负责领导</w:t>
            </w:r>
          </w:p>
        </w:tc>
      </w:tr>
      <w:tr>
        <w:tblPrEx>
          <w:tblCellMar>
            <w:top w:w="0" w:type="dxa"/>
            <w:left w:w="0" w:type="dxa"/>
            <w:bottom w:w="0" w:type="dxa"/>
            <w:right w:w="0" w:type="dxa"/>
          </w:tblCellMar>
        </w:tblPrEx>
        <w:trPr>
          <w:trHeight w:val="570" w:hRule="atLeast"/>
          <w:jc w:val="center"/>
        </w:trPr>
        <w:tc>
          <w:tcPr>
            <w:tcW w:w="319" w:type="pct"/>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1621" w:type="pct"/>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249" w:type="pct"/>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225" w:type="pct"/>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260" w:type="pct"/>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汇总</w:t>
            </w:r>
          </w:p>
        </w:tc>
        <w:tc>
          <w:tcPr>
            <w:tcW w:w="255" w:type="pct"/>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学校自筹</w:t>
            </w:r>
          </w:p>
        </w:tc>
        <w:tc>
          <w:tcPr>
            <w:tcW w:w="304" w:type="pct"/>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行业企业投入</w:t>
            </w:r>
          </w:p>
        </w:tc>
        <w:tc>
          <w:tcPr>
            <w:tcW w:w="301" w:type="pct"/>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举办方投入</w:t>
            </w:r>
          </w:p>
        </w:tc>
        <w:tc>
          <w:tcPr>
            <w:tcW w:w="331" w:type="pct"/>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地市县投入</w:t>
            </w:r>
          </w:p>
        </w:tc>
        <w:tc>
          <w:tcPr>
            <w:tcW w:w="237" w:type="pct"/>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30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33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250" w:type="pct"/>
            <w:vMerge w:val="continue"/>
            <w:tcBorders>
              <w:left w:val="single" w:color="000000" w:sz="4" w:space="0"/>
              <w:bottom w:val="single" w:color="000000" w:sz="4" w:space="0"/>
              <w:right w:val="single" w:color="000000" w:sz="4" w:space="0"/>
            </w:tcBorders>
          </w:tcPr>
          <w:p>
            <w:pPr>
              <w:jc w:val="center"/>
              <w:rPr>
                <w:rFonts w:ascii="宋体" w:cs="宋体"/>
                <w:b/>
                <w:color w:val="000000"/>
                <w:sz w:val="24"/>
                <w:szCs w:val="24"/>
              </w:rPr>
            </w:pPr>
          </w:p>
        </w:tc>
      </w:tr>
      <w:tr>
        <w:tblPrEx>
          <w:tblCellMar>
            <w:top w:w="0" w:type="dxa"/>
            <w:left w:w="0" w:type="dxa"/>
            <w:bottom w:w="0" w:type="dxa"/>
            <w:right w:w="0" w:type="dxa"/>
          </w:tblCellMar>
        </w:tblPrEx>
        <w:trPr>
          <w:trHeight w:val="54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加强职业教育研究，构建中国特色职业教育的思想体系、话语体系、政策体系和实践体系</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sz w:val="18"/>
                <w:szCs w:val="18"/>
              </w:rPr>
              <w:t>党群部</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sz w:val="18"/>
                <w:szCs w:val="18"/>
              </w:rPr>
              <w:t>职教中心</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沈浩</w:t>
            </w:r>
          </w:p>
        </w:tc>
      </w:tr>
      <w:tr>
        <w:tblPrEx>
          <w:tblCellMar>
            <w:top w:w="0" w:type="dxa"/>
            <w:left w:w="0" w:type="dxa"/>
            <w:bottom w:w="0" w:type="dxa"/>
            <w:right w:w="0" w:type="dxa"/>
          </w:tblCellMar>
        </w:tblPrEx>
        <w:trPr>
          <w:trHeight w:val="27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按照师生比不低于</w:t>
            </w:r>
            <w:r>
              <w:rPr>
                <w:rFonts w:ascii="宋体" w:hAnsi="宋体" w:cs="宋体"/>
                <w:color w:val="000000"/>
                <w:kern w:val="0"/>
                <w:sz w:val="18"/>
                <w:szCs w:val="18"/>
              </w:rPr>
              <w:t>1:350</w:t>
            </w:r>
            <w:r>
              <w:rPr>
                <w:rFonts w:hint="eastAsia" w:ascii="宋体" w:hAnsi="宋体" w:cs="宋体"/>
                <w:color w:val="000000"/>
                <w:kern w:val="0"/>
                <w:sz w:val="18"/>
                <w:szCs w:val="18"/>
              </w:rPr>
              <w:t>的比例核定专职思政课教师岗位</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人事处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基础部</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管继春</w:t>
            </w:r>
          </w:p>
        </w:tc>
      </w:tr>
      <w:tr>
        <w:tblPrEx>
          <w:tblCellMar>
            <w:top w:w="0" w:type="dxa"/>
            <w:left w:w="0" w:type="dxa"/>
            <w:bottom w:w="0" w:type="dxa"/>
            <w:right w:w="0" w:type="dxa"/>
          </w:tblCellMar>
        </w:tblPrEx>
        <w:trPr>
          <w:trHeight w:val="270" w:hRule="atLeast"/>
          <w:jc w:val="center"/>
        </w:trPr>
        <w:tc>
          <w:tcPr>
            <w:tcW w:w="109"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2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4.1</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培训</w:t>
            </w:r>
            <w:r>
              <w:rPr>
                <w:rFonts w:ascii="宋体" w:hAnsi="宋体" w:cs="宋体"/>
                <w:color w:val="000000"/>
                <w:kern w:val="0"/>
                <w:sz w:val="18"/>
                <w:szCs w:val="18"/>
              </w:rPr>
              <w:t>10000</w:t>
            </w:r>
            <w:r>
              <w:rPr>
                <w:rFonts w:hint="eastAsia" w:ascii="宋体" w:hAnsi="宋体" w:cs="宋体"/>
                <w:color w:val="000000"/>
                <w:kern w:val="0"/>
                <w:sz w:val="18"/>
                <w:szCs w:val="18"/>
              </w:rPr>
              <w:t>名左右德育骨干管理人员、思政课专任教师</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学生处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18"/>
                <w:szCs w:val="18"/>
              </w:rPr>
            </w:pPr>
            <w:r>
              <w:rPr>
                <w:rFonts w:hint="eastAsia" w:ascii="宋体" w:hAnsi="宋体" w:cs="宋体"/>
                <w:kern w:val="0"/>
                <w:sz w:val="18"/>
                <w:szCs w:val="18"/>
              </w:rPr>
              <w:t>党群部</w:t>
            </w:r>
          </w:p>
          <w:p>
            <w:pPr>
              <w:widowControl/>
              <w:jc w:val="left"/>
              <w:textAlignment w:val="center"/>
              <w:rPr>
                <w:rFonts w:ascii="宋体" w:cs="宋体"/>
                <w:sz w:val="18"/>
                <w:szCs w:val="18"/>
              </w:rPr>
            </w:pPr>
            <w:r>
              <w:rPr>
                <w:rFonts w:hint="eastAsia" w:ascii="宋体" w:hAnsi="宋体" w:cs="宋体"/>
                <w:kern w:val="0"/>
                <w:sz w:val="18"/>
                <w:szCs w:val="18"/>
              </w:rPr>
              <w:t>基础部</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沈浩</w:t>
            </w:r>
          </w:p>
        </w:tc>
      </w:tr>
      <w:tr>
        <w:tblPrEx>
          <w:tblCellMar>
            <w:top w:w="0" w:type="dxa"/>
            <w:left w:w="0" w:type="dxa"/>
            <w:bottom w:w="0" w:type="dxa"/>
            <w:right w:w="0" w:type="dxa"/>
          </w:tblCellMar>
        </w:tblPrEx>
        <w:trPr>
          <w:trHeight w:val="270" w:hRule="atLeast"/>
          <w:jc w:val="center"/>
        </w:trPr>
        <w:tc>
          <w:tcPr>
            <w:tcW w:w="109"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4.4</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FFFFFF"/>
                <w:sz w:val="18"/>
                <w:szCs w:val="18"/>
              </w:rPr>
            </w:pPr>
            <w:r>
              <w:rPr>
                <w:rFonts w:ascii="宋体" w:hAnsi="宋体" w:cs="宋体"/>
                <w:color w:val="000000"/>
                <w:kern w:val="0"/>
                <w:sz w:val="18"/>
                <w:szCs w:val="18"/>
              </w:rPr>
              <w:t>10000</w:t>
            </w:r>
            <w:r>
              <w:rPr>
                <w:rFonts w:hint="eastAsia" w:ascii="宋体" w:hAnsi="宋体" w:cs="宋体"/>
                <w:color w:val="000000"/>
                <w:kern w:val="0"/>
                <w:sz w:val="18"/>
                <w:szCs w:val="18"/>
              </w:rPr>
              <w:t>个左右思想政治课示范课堂</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基础部</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r>
              <w:rPr>
                <w:rFonts w:hint="eastAsia" w:ascii="宋体" w:hAnsi="宋体" w:cs="宋体"/>
                <w:sz w:val="18"/>
                <w:szCs w:val="18"/>
              </w:rPr>
              <w:t>党群部</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沈浩</w:t>
            </w:r>
          </w:p>
        </w:tc>
      </w:tr>
      <w:tr>
        <w:tblPrEx>
          <w:tblCellMar>
            <w:top w:w="0" w:type="dxa"/>
            <w:left w:w="0" w:type="dxa"/>
            <w:bottom w:w="0" w:type="dxa"/>
            <w:right w:w="0" w:type="dxa"/>
          </w:tblCellMar>
        </w:tblPrEx>
        <w:trPr>
          <w:trHeight w:val="270" w:hRule="atLeast"/>
          <w:jc w:val="center"/>
        </w:trPr>
        <w:tc>
          <w:tcPr>
            <w:tcW w:w="109"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4.5</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10000</w:t>
            </w:r>
            <w:r>
              <w:rPr>
                <w:rFonts w:hint="eastAsia" w:ascii="宋体" w:hAnsi="宋体" w:cs="宋体"/>
                <w:color w:val="000000"/>
                <w:kern w:val="0"/>
                <w:sz w:val="18"/>
                <w:szCs w:val="18"/>
              </w:rPr>
              <w:t>个左右具有职业教育特点的课程思政教育案例</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教务处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18"/>
                <w:szCs w:val="18"/>
              </w:rPr>
            </w:pPr>
            <w:r>
              <w:rPr>
                <w:rFonts w:hint="eastAsia" w:ascii="宋体" w:hAnsi="宋体" w:cs="宋体"/>
                <w:kern w:val="0"/>
                <w:sz w:val="18"/>
                <w:szCs w:val="18"/>
              </w:rPr>
              <w:t>党群部</w:t>
            </w:r>
          </w:p>
          <w:p>
            <w:pPr>
              <w:widowControl/>
              <w:jc w:val="left"/>
              <w:textAlignment w:val="center"/>
              <w:rPr>
                <w:rFonts w:ascii="宋体" w:cs="宋体"/>
                <w:sz w:val="18"/>
                <w:szCs w:val="18"/>
              </w:rPr>
            </w:pPr>
            <w:r>
              <w:rPr>
                <w:rFonts w:hint="eastAsia" w:ascii="宋体" w:hAnsi="宋体" w:cs="宋体"/>
                <w:kern w:val="0"/>
                <w:sz w:val="18"/>
                <w:szCs w:val="18"/>
              </w:rPr>
              <w:t>各系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沈浩</w:t>
            </w:r>
          </w:p>
        </w:tc>
      </w:tr>
      <w:tr>
        <w:trPr>
          <w:trHeight w:val="54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支持职业学校承担更多培训任务，实现优质职业学校年职业培训人次达到在校生规模的</w:t>
            </w:r>
            <w:r>
              <w:rPr>
                <w:rFonts w:ascii="宋体" w:hAnsi="宋体" w:cs="宋体"/>
                <w:color w:val="000000"/>
                <w:kern w:val="0"/>
                <w:sz w:val="18"/>
                <w:szCs w:val="18"/>
              </w:rPr>
              <w:t>2</w:t>
            </w:r>
            <w:r>
              <w:rPr>
                <w:rFonts w:hint="eastAsia" w:ascii="宋体" w:hAnsi="宋体" w:cs="宋体"/>
                <w:color w:val="000000"/>
                <w:kern w:val="0"/>
                <w:sz w:val="18"/>
                <w:szCs w:val="18"/>
              </w:rPr>
              <w:t>倍以上</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双创中心</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各系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27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推进</w:t>
            </w:r>
            <w:r>
              <w:rPr>
                <w:rFonts w:ascii="宋体" w:hAnsi="宋体" w:cs="宋体"/>
                <w:color w:val="000000"/>
                <w:kern w:val="0"/>
                <w:sz w:val="18"/>
                <w:szCs w:val="18"/>
              </w:rPr>
              <w:t>1+X</w:t>
            </w:r>
            <w:r>
              <w:rPr>
                <w:rFonts w:hint="eastAsia" w:ascii="宋体" w:hAnsi="宋体" w:cs="宋体"/>
                <w:color w:val="000000"/>
                <w:kern w:val="0"/>
                <w:sz w:val="18"/>
                <w:szCs w:val="18"/>
              </w:rPr>
              <w:t>证书制度试点</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教务处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各系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60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引导职业学校和龙头企业联合建设</w:t>
            </w:r>
            <w:r>
              <w:rPr>
                <w:rFonts w:ascii="宋体" w:hAnsi="宋体" w:cs="宋体"/>
                <w:color w:val="000000"/>
                <w:kern w:val="0"/>
                <w:sz w:val="18"/>
                <w:szCs w:val="18"/>
              </w:rPr>
              <w:t>500</w:t>
            </w:r>
            <w:r>
              <w:rPr>
                <w:rFonts w:hint="eastAsia" w:ascii="宋体" w:hAnsi="宋体" w:cs="宋体"/>
                <w:color w:val="000000"/>
                <w:kern w:val="0"/>
                <w:sz w:val="18"/>
                <w:szCs w:val="18"/>
              </w:rPr>
              <w:t>个左右示范性职工培训基地</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交通系</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54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依托国有企业、大型民企建立</w:t>
            </w:r>
            <w:r>
              <w:rPr>
                <w:rFonts w:ascii="宋体" w:hAnsi="宋体" w:cs="宋体"/>
                <w:color w:val="000000"/>
                <w:kern w:val="0"/>
                <w:sz w:val="18"/>
                <w:szCs w:val="18"/>
              </w:rPr>
              <w:t>1000</w:t>
            </w:r>
            <w:r>
              <w:rPr>
                <w:rFonts w:hint="eastAsia" w:ascii="宋体" w:hAnsi="宋体" w:cs="宋体"/>
                <w:color w:val="000000"/>
                <w:kern w:val="0"/>
                <w:sz w:val="18"/>
                <w:szCs w:val="18"/>
              </w:rPr>
              <w:t>个左右示范性教师企业实践流动站</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双创中心</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r>
              <w:rPr>
                <w:rFonts w:hint="eastAsia" w:ascii="宋体" w:hAnsi="宋体" w:cs="宋体"/>
                <w:sz w:val="18"/>
                <w:szCs w:val="18"/>
              </w:rPr>
              <w:t>机电系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58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推动建设</w:t>
            </w:r>
            <w:r>
              <w:rPr>
                <w:rFonts w:ascii="宋体" w:hAnsi="宋体" w:cs="宋体"/>
                <w:color w:val="000000"/>
                <w:kern w:val="0"/>
                <w:sz w:val="18"/>
                <w:szCs w:val="18"/>
              </w:rPr>
              <w:t>300</w:t>
            </w:r>
            <w:r>
              <w:rPr>
                <w:rFonts w:hint="eastAsia" w:ascii="宋体" w:hAnsi="宋体" w:cs="宋体"/>
                <w:color w:val="000000"/>
                <w:kern w:val="0"/>
                <w:sz w:val="18"/>
                <w:szCs w:val="18"/>
              </w:rPr>
              <w:t>个左右具有辐射引领作用的高水平专业化产教融合实训基地</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400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300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商务旅游系</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270" w:hRule="atLeast"/>
          <w:jc w:val="center"/>
        </w:trPr>
        <w:tc>
          <w:tcPr>
            <w:tcW w:w="1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2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36.2</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专业教师中“双师型”教师占比超过</w:t>
            </w:r>
            <w:r>
              <w:rPr>
                <w:rFonts w:ascii="宋体" w:hAnsi="宋体" w:cs="宋体"/>
                <w:color w:val="000000"/>
                <w:kern w:val="0"/>
                <w:sz w:val="18"/>
                <w:szCs w:val="18"/>
              </w:rPr>
              <w:t>50%</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人事处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r>
              <w:rPr>
                <w:rFonts w:hint="eastAsia" w:ascii="宋体" w:hAnsi="宋体" w:cs="宋体"/>
                <w:sz w:val="18"/>
                <w:szCs w:val="18"/>
              </w:rPr>
              <w:t>各系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管继春</w:t>
            </w:r>
          </w:p>
        </w:tc>
      </w:tr>
      <w:tr>
        <w:tblPrEx>
          <w:tblCellMar>
            <w:top w:w="0" w:type="dxa"/>
            <w:left w:w="0" w:type="dxa"/>
            <w:bottom w:w="0" w:type="dxa"/>
            <w:right w:w="0" w:type="dxa"/>
          </w:tblCellMar>
        </w:tblPrEx>
        <w:trPr>
          <w:trHeight w:val="60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37</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校企共建“双师型”教师培养培训基地和教师企业实践基地</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双创中心</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r>
              <w:rPr>
                <w:rFonts w:hint="eastAsia" w:ascii="宋体" w:hAnsi="宋体" w:cs="宋体"/>
                <w:sz w:val="18"/>
                <w:szCs w:val="18"/>
              </w:rPr>
              <w:t>机电系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管继春</w:t>
            </w:r>
          </w:p>
        </w:tc>
      </w:tr>
      <w:tr>
        <w:tblPrEx>
          <w:tblCellMar>
            <w:top w:w="0" w:type="dxa"/>
            <w:left w:w="0" w:type="dxa"/>
            <w:bottom w:w="0" w:type="dxa"/>
            <w:right w:w="0" w:type="dxa"/>
          </w:tblCellMar>
        </w:tblPrEx>
        <w:trPr>
          <w:trHeight w:val="27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44</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建立职业学校人才培养方案公开制度</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教务处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各系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27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45</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建立健全国家、省、校三级教学能力比赛机制</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教务处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各系部</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27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46</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遴选</w:t>
            </w:r>
            <w:r>
              <w:rPr>
                <w:rFonts w:ascii="宋体" w:hAnsi="宋体" w:cs="宋体"/>
                <w:color w:val="000000"/>
                <w:kern w:val="0"/>
                <w:sz w:val="18"/>
                <w:szCs w:val="18"/>
              </w:rPr>
              <w:t>1000</w:t>
            </w:r>
            <w:r>
              <w:rPr>
                <w:rFonts w:hint="eastAsia" w:ascii="宋体" w:hAnsi="宋体" w:cs="宋体"/>
                <w:color w:val="000000"/>
                <w:kern w:val="0"/>
                <w:sz w:val="18"/>
                <w:szCs w:val="18"/>
              </w:rPr>
              <w:t>个左右职业教育“课堂革命”典型案例</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各系部</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54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47</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落实《职业院校数字校园规范》，研制校本数据中心建设指南，指导职业学校系统设计学校信息化整体解决方案</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18"/>
                <w:szCs w:val="18"/>
              </w:rPr>
            </w:pPr>
            <w:r>
              <w:rPr>
                <w:rFonts w:hint="eastAsia" w:ascii="宋体" w:hAnsi="宋体" w:cs="宋体"/>
                <w:kern w:val="0"/>
                <w:sz w:val="18"/>
                <w:szCs w:val="18"/>
              </w:rPr>
              <w:t>行政工作部</w:t>
            </w:r>
          </w:p>
          <w:p>
            <w:pPr>
              <w:widowControl/>
              <w:jc w:val="left"/>
              <w:textAlignment w:val="center"/>
              <w:rPr>
                <w:rFonts w:ascii="宋体" w:cs="宋体"/>
                <w:sz w:val="18"/>
                <w:szCs w:val="18"/>
              </w:rPr>
            </w:pPr>
            <w:r>
              <w:rPr>
                <w:rFonts w:hint="eastAsia" w:ascii="宋体" w:hAnsi="宋体" w:cs="宋体"/>
                <w:kern w:val="0"/>
                <w:sz w:val="18"/>
                <w:szCs w:val="18"/>
              </w:rPr>
              <w:t>信息中心</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18"/>
                <w:szCs w:val="18"/>
              </w:rPr>
            </w:pPr>
            <w:r>
              <w:rPr>
                <w:rFonts w:hint="eastAsia" w:ascii="宋体" w:hAnsi="宋体" w:cs="宋体"/>
                <w:sz w:val="18"/>
                <w:szCs w:val="18"/>
              </w:rPr>
              <w:t>学院各单位</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54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面向公共基础课和量大面广的专业（技能）课，分级遴选</w:t>
            </w:r>
            <w:r>
              <w:rPr>
                <w:rFonts w:ascii="宋体" w:hAnsi="宋体" w:cs="宋体"/>
                <w:color w:val="000000"/>
                <w:kern w:val="0"/>
                <w:sz w:val="18"/>
                <w:szCs w:val="18"/>
              </w:rPr>
              <w:t>5000</w:t>
            </w:r>
            <w:r>
              <w:rPr>
                <w:rFonts w:hint="eastAsia" w:ascii="宋体" w:hAnsi="宋体" w:cs="宋体"/>
                <w:color w:val="000000"/>
                <w:kern w:val="0"/>
                <w:sz w:val="18"/>
                <w:szCs w:val="18"/>
              </w:rPr>
              <w:t>门左右职业教育精品在线开放课程</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教务处</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信息中心各系部</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徐玉民</w:t>
            </w:r>
          </w:p>
        </w:tc>
      </w:tr>
      <w:tr>
        <w:tblPrEx>
          <w:tblCellMar>
            <w:top w:w="0" w:type="dxa"/>
            <w:left w:w="0" w:type="dxa"/>
            <w:bottom w:w="0" w:type="dxa"/>
            <w:right w:w="0" w:type="dxa"/>
          </w:tblCellMar>
        </w:tblPrEx>
        <w:trPr>
          <w:trHeight w:val="270" w:hRule="atLeast"/>
          <w:jc w:val="center"/>
        </w:trPr>
        <w:tc>
          <w:tcPr>
            <w:tcW w:w="31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51</w:t>
            </w:r>
          </w:p>
        </w:tc>
        <w:tc>
          <w:tcPr>
            <w:tcW w:w="16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支持职业学校到国（境）外办学，培育一批“鲁班工坊”</w:t>
            </w:r>
          </w:p>
        </w:tc>
        <w:tc>
          <w:tcPr>
            <w:tcW w:w="2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是</w:t>
            </w:r>
          </w:p>
        </w:tc>
        <w:tc>
          <w:tcPr>
            <w:tcW w:w="2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210</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60</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通过</w:t>
            </w: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国际教育系</w:t>
            </w: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其他各系</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丁国声</w:t>
            </w:r>
          </w:p>
        </w:tc>
      </w:tr>
      <w:tr>
        <w:tblPrEx>
          <w:tblCellMar>
            <w:top w:w="0" w:type="dxa"/>
            <w:left w:w="0" w:type="dxa"/>
            <w:bottom w:w="0" w:type="dxa"/>
            <w:right w:w="0" w:type="dxa"/>
          </w:tblCellMar>
        </w:tblPrEx>
        <w:trPr>
          <w:trHeight w:val="270" w:hRule="atLeast"/>
          <w:jc w:val="center"/>
        </w:trPr>
        <w:tc>
          <w:tcPr>
            <w:tcW w:w="2414"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资金合计</w:t>
            </w:r>
          </w:p>
        </w:tc>
        <w:tc>
          <w:tcPr>
            <w:tcW w:w="2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18"/>
                <w:szCs w:val="18"/>
              </w:rPr>
            </w:pPr>
            <w:r>
              <w:rPr>
                <w:rFonts w:ascii="宋体" w:hAnsi="宋体" w:cs="宋体"/>
                <w:kern w:val="0"/>
                <w:sz w:val="18"/>
                <w:szCs w:val="18"/>
              </w:rPr>
              <w:t>1494</w:t>
            </w:r>
          </w:p>
        </w:tc>
        <w:tc>
          <w:tcPr>
            <w:tcW w:w="2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18"/>
                <w:szCs w:val="18"/>
              </w:rPr>
            </w:pPr>
            <w:r>
              <w:rPr>
                <w:rFonts w:ascii="宋体" w:hAnsi="宋体" w:cs="宋体"/>
                <w:kern w:val="0"/>
                <w:sz w:val="18"/>
                <w:szCs w:val="18"/>
              </w:rPr>
              <w:t>342</w:t>
            </w:r>
          </w:p>
        </w:tc>
        <w:tc>
          <w:tcPr>
            <w:tcW w:w="30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18"/>
                <w:szCs w:val="18"/>
              </w:rPr>
            </w:pPr>
            <w:r>
              <w:rPr>
                <w:rFonts w:ascii="宋体" w:hAnsi="宋体" w:cs="宋体"/>
                <w:kern w:val="0"/>
                <w:sz w:val="18"/>
                <w:szCs w:val="18"/>
              </w:rPr>
              <w:t>793</w:t>
            </w:r>
          </w:p>
        </w:tc>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18"/>
                <w:szCs w:val="18"/>
              </w:rPr>
            </w:pPr>
            <w:r>
              <w:rPr>
                <w:rFonts w:ascii="宋体" w:hAnsi="宋体" w:cs="宋体"/>
                <w:kern w:val="0"/>
                <w:sz w:val="18"/>
                <w:szCs w:val="18"/>
              </w:rPr>
              <w:t>359</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18"/>
                <w:szCs w:val="18"/>
              </w:rPr>
            </w:pPr>
          </w:p>
        </w:tc>
        <w:tc>
          <w:tcPr>
            <w:tcW w:w="2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18"/>
                <w:szCs w:val="18"/>
              </w:rPr>
            </w:pPr>
          </w:p>
        </w:tc>
        <w:tc>
          <w:tcPr>
            <w:tcW w:w="3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kern w:val="0"/>
                <w:sz w:val="18"/>
                <w:szCs w:val="18"/>
              </w:rPr>
            </w:pPr>
          </w:p>
        </w:tc>
        <w:tc>
          <w:tcPr>
            <w:tcW w:w="3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kern w:val="0"/>
                <w:sz w:val="18"/>
                <w:szCs w:val="18"/>
              </w:rPr>
            </w:pPr>
          </w:p>
        </w:tc>
        <w:tc>
          <w:tcPr>
            <w:tcW w:w="250"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kern w:val="0"/>
                <w:sz w:val="18"/>
                <w:szCs w:val="18"/>
              </w:rPr>
            </w:pPr>
          </w:p>
        </w:tc>
      </w:tr>
    </w:tbl>
    <w:p>
      <w:pPr>
        <w:widowControl/>
        <w:snapToGrid w:val="0"/>
        <w:spacing w:line="360" w:lineRule="auto"/>
        <w:jc w:val="center"/>
        <w:rPr>
          <w:rFonts w:ascii="仿宋" w:hAnsi="仿宋" w:eastAsia="仿宋"/>
          <w:kern w:val="0"/>
          <w:sz w:val="30"/>
          <w:szCs w:val="30"/>
        </w:rPr>
      </w:pPr>
    </w:p>
    <w:p>
      <w:pPr>
        <w:widowControl/>
        <w:snapToGrid w:val="0"/>
        <w:spacing w:line="360" w:lineRule="auto"/>
        <w:jc w:val="left"/>
        <w:rPr>
          <w:rFonts w:ascii="仿宋" w:hAnsi="仿宋" w:eastAsia="仿宋"/>
          <w:kern w:val="0"/>
          <w:sz w:val="32"/>
          <w:szCs w:val="32"/>
        </w:rPr>
        <w:sectPr>
          <w:pgSz w:w="16838" w:h="11906" w:orient="landscape"/>
          <w:pgMar w:top="1803" w:right="1440" w:bottom="1803" w:left="1440" w:header="851" w:footer="992" w:gutter="0"/>
          <w:pgNumType w:fmt="numberInDash"/>
          <w:cols w:space="0" w:num="1"/>
          <w:docGrid w:type="lines" w:linePitch="319" w:charSpace="0"/>
        </w:sectPr>
      </w:pPr>
    </w:p>
    <w:p>
      <w:pPr>
        <w:widowControl/>
        <w:snapToGrid w:val="0"/>
        <w:spacing w:line="360" w:lineRule="auto"/>
        <w:jc w:val="lef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widowControl/>
        <w:snapToGrid w:val="0"/>
        <w:spacing w:line="360" w:lineRule="auto"/>
        <w:jc w:val="center"/>
        <w:rPr>
          <w:rFonts w:ascii="宋体" w:cs="宋体"/>
          <w:b/>
          <w:bCs/>
          <w:kern w:val="0"/>
          <w:sz w:val="32"/>
          <w:szCs w:val="32"/>
        </w:rPr>
      </w:pPr>
      <w:r>
        <w:rPr>
          <w:rFonts w:hint="eastAsia" w:ascii="宋体" w:hAnsi="宋体" w:cs="宋体"/>
          <w:b/>
          <w:bCs/>
          <w:kern w:val="0"/>
          <w:sz w:val="32"/>
          <w:szCs w:val="32"/>
        </w:rPr>
        <w:t>建设方案编写指南</w:t>
      </w:r>
    </w:p>
    <w:p>
      <w:pPr>
        <w:widowControl/>
        <w:snapToGrid w:val="0"/>
        <w:spacing w:line="360" w:lineRule="auto"/>
        <w:ind w:firstLine="640" w:firstLineChars="200"/>
        <w:jc w:val="left"/>
        <w:rPr>
          <w:rFonts w:ascii="黑体" w:hAnsi="黑体" w:eastAsia="黑体" w:cs="黑体"/>
          <w:kern w:val="0"/>
          <w:sz w:val="32"/>
          <w:szCs w:val="32"/>
        </w:rPr>
      </w:pPr>
    </w:p>
    <w:p>
      <w:pPr>
        <w:widowControl/>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一、方案框架</w:t>
      </w:r>
    </w:p>
    <w:p>
      <w:pPr>
        <w:ind w:firstLine="640" w:firstLineChars="200"/>
        <w:rPr>
          <w:rFonts w:ascii="仿宋" w:hAnsi="仿宋" w:eastAsia="仿宋"/>
          <w:kern w:val="0"/>
          <w:sz w:val="32"/>
          <w:szCs w:val="32"/>
        </w:rPr>
      </w:pPr>
      <w:r>
        <w:rPr>
          <w:rFonts w:hint="eastAsia" w:ascii="仿宋" w:hAnsi="仿宋" w:eastAsia="仿宋"/>
          <w:kern w:val="0"/>
          <w:sz w:val="32"/>
          <w:szCs w:val="32"/>
        </w:rPr>
        <w:t>基本框架如下：</w:t>
      </w:r>
    </w:p>
    <w:p>
      <w:pPr>
        <w:ind w:firstLine="640" w:firstLineChars="200"/>
        <w:rPr>
          <w:rFonts w:ascii="仿宋" w:hAnsi="仿宋" w:eastAsia="仿宋"/>
          <w:kern w:val="0"/>
          <w:sz w:val="32"/>
          <w:szCs w:val="32"/>
        </w:rPr>
      </w:pPr>
      <w:r>
        <w:rPr>
          <w:rFonts w:hint="eastAsia" w:ascii="仿宋" w:hAnsi="仿宋" w:eastAsia="仿宋"/>
          <w:kern w:val="0"/>
          <w:sz w:val="32"/>
          <w:szCs w:val="32"/>
        </w:rPr>
        <w:t>前言（建设背景）</w:t>
      </w:r>
    </w:p>
    <w:p>
      <w:pPr>
        <w:ind w:firstLine="640" w:firstLineChars="200"/>
        <w:rPr>
          <w:rFonts w:ascii="仿宋" w:hAnsi="仿宋" w:eastAsia="仿宋"/>
          <w:kern w:val="0"/>
          <w:sz w:val="32"/>
          <w:szCs w:val="32"/>
        </w:rPr>
      </w:pPr>
      <w:r>
        <w:rPr>
          <w:rFonts w:hint="eastAsia" w:ascii="仿宋" w:hAnsi="仿宋" w:eastAsia="仿宋"/>
          <w:kern w:val="0"/>
          <w:sz w:val="32"/>
          <w:szCs w:val="32"/>
        </w:rPr>
        <w:t>一、建设基础</w:t>
      </w:r>
    </w:p>
    <w:p>
      <w:pPr>
        <w:ind w:firstLine="640" w:firstLineChars="200"/>
        <w:rPr>
          <w:rFonts w:ascii="仿宋" w:hAnsi="仿宋" w:eastAsia="仿宋"/>
          <w:kern w:val="0"/>
          <w:sz w:val="32"/>
          <w:szCs w:val="32"/>
        </w:rPr>
      </w:pPr>
      <w:r>
        <w:rPr>
          <w:rFonts w:hint="eastAsia" w:ascii="仿宋" w:hAnsi="仿宋" w:eastAsia="仿宋"/>
          <w:kern w:val="0"/>
          <w:sz w:val="32"/>
          <w:szCs w:val="32"/>
        </w:rPr>
        <w:t>二、建设目标与思路</w:t>
      </w:r>
    </w:p>
    <w:p>
      <w:pPr>
        <w:ind w:firstLine="640" w:firstLineChars="200"/>
        <w:rPr>
          <w:rFonts w:ascii="仿宋" w:hAnsi="仿宋" w:eastAsia="仿宋"/>
          <w:kern w:val="0"/>
          <w:sz w:val="32"/>
          <w:szCs w:val="32"/>
        </w:rPr>
      </w:pPr>
      <w:r>
        <w:rPr>
          <w:rFonts w:hint="eastAsia" w:ascii="仿宋" w:hAnsi="仿宋" w:eastAsia="仿宋"/>
          <w:kern w:val="0"/>
          <w:sz w:val="32"/>
          <w:szCs w:val="32"/>
        </w:rPr>
        <w:t>三、建设内容与主要措施</w:t>
      </w:r>
    </w:p>
    <w:p>
      <w:pPr>
        <w:ind w:firstLine="640" w:firstLineChars="200"/>
        <w:rPr>
          <w:rFonts w:ascii="仿宋" w:hAnsi="仿宋" w:eastAsia="仿宋"/>
          <w:kern w:val="0"/>
          <w:sz w:val="32"/>
          <w:szCs w:val="32"/>
        </w:rPr>
      </w:pPr>
      <w:r>
        <w:rPr>
          <w:rFonts w:hint="eastAsia" w:ascii="仿宋" w:hAnsi="仿宋" w:eastAsia="仿宋"/>
          <w:kern w:val="0"/>
          <w:sz w:val="32"/>
          <w:szCs w:val="32"/>
        </w:rPr>
        <w:t>四、建设进度与经费预算</w:t>
      </w:r>
      <w:r>
        <w:rPr>
          <w:rFonts w:ascii="仿宋" w:hAnsi="仿宋" w:eastAsia="仿宋"/>
          <w:kern w:val="0"/>
          <w:sz w:val="32"/>
          <w:szCs w:val="32"/>
        </w:rPr>
        <w:t xml:space="preserve">  </w:t>
      </w:r>
    </w:p>
    <w:p>
      <w:pPr>
        <w:ind w:firstLine="640" w:firstLineChars="200"/>
        <w:rPr>
          <w:rFonts w:ascii="仿宋" w:hAnsi="仿宋" w:eastAsia="仿宋"/>
          <w:kern w:val="0"/>
          <w:sz w:val="32"/>
          <w:szCs w:val="32"/>
        </w:rPr>
      </w:pPr>
      <w:r>
        <w:rPr>
          <w:rFonts w:hint="eastAsia" w:ascii="仿宋" w:hAnsi="仿宋" w:eastAsia="仿宋"/>
          <w:kern w:val="0"/>
          <w:sz w:val="32"/>
          <w:szCs w:val="32"/>
        </w:rPr>
        <w:t>五、预期成效和标志性成果</w:t>
      </w:r>
    </w:p>
    <w:p>
      <w:pPr>
        <w:ind w:firstLine="640" w:firstLineChars="200"/>
        <w:rPr>
          <w:rFonts w:ascii="仿宋" w:hAnsi="仿宋" w:eastAsia="仿宋"/>
          <w:kern w:val="0"/>
          <w:sz w:val="32"/>
          <w:szCs w:val="32"/>
        </w:rPr>
      </w:pPr>
      <w:r>
        <w:rPr>
          <w:rFonts w:hint="eastAsia" w:ascii="仿宋" w:hAnsi="仿宋" w:eastAsia="仿宋"/>
          <w:kern w:val="0"/>
          <w:sz w:val="32"/>
          <w:szCs w:val="32"/>
        </w:rPr>
        <w:t>六、保障措施</w:t>
      </w:r>
    </w:p>
    <w:p>
      <w:pPr>
        <w:widowControl/>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二、方案内容要求</w:t>
      </w:r>
    </w:p>
    <w:p>
      <w:pPr>
        <w:ind w:firstLine="640" w:firstLineChars="200"/>
        <w:rPr>
          <w:rFonts w:ascii="仿宋" w:hAnsi="仿宋" w:eastAsia="仿宋" w:cs="仿宋"/>
          <w:sz w:val="32"/>
          <w:szCs w:val="32"/>
        </w:rPr>
      </w:pPr>
      <w:r>
        <w:rPr>
          <w:rFonts w:ascii="仿宋" w:hAnsi="仿宋" w:eastAsia="仿宋"/>
          <w:kern w:val="0"/>
          <w:sz w:val="32"/>
          <w:szCs w:val="32"/>
        </w:rPr>
        <w:t>1.</w:t>
      </w:r>
      <w:r>
        <w:rPr>
          <w:rFonts w:hint="eastAsia" w:ascii="仿宋" w:hAnsi="仿宋" w:eastAsia="仿宋" w:cs="仿宋"/>
          <w:sz w:val="32"/>
          <w:szCs w:val="32"/>
        </w:rPr>
        <w:t>深入贯彻落实《国家职业教育改革实施方案》</w:t>
      </w:r>
      <w:r>
        <w:rPr>
          <w:rFonts w:hint="eastAsia" w:ascii="仿宋" w:hAnsi="仿宋" w:eastAsia="仿宋"/>
          <w:kern w:val="0"/>
          <w:sz w:val="32"/>
          <w:szCs w:val="32"/>
        </w:rPr>
        <w:t>《职业教育提质培优行动计划（</w:t>
      </w:r>
      <w:r>
        <w:rPr>
          <w:rFonts w:ascii="仿宋" w:hAnsi="仿宋" w:eastAsia="仿宋"/>
          <w:kern w:val="0"/>
          <w:sz w:val="32"/>
          <w:szCs w:val="32"/>
        </w:rPr>
        <w:t>2020-2023</w:t>
      </w:r>
      <w:r>
        <w:rPr>
          <w:rFonts w:hint="eastAsia" w:ascii="仿宋" w:hAnsi="仿宋" w:eastAsia="仿宋"/>
          <w:kern w:val="0"/>
          <w:sz w:val="32"/>
          <w:szCs w:val="32"/>
        </w:rPr>
        <w:t>年）》</w:t>
      </w:r>
      <w:r>
        <w:rPr>
          <w:rFonts w:hint="eastAsia" w:ascii="仿宋" w:hAnsi="仿宋" w:eastAsia="仿宋" w:cs="仿宋"/>
          <w:sz w:val="32"/>
          <w:szCs w:val="32"/>
        </w:rPr>
        <w:t>《教育部财政部关于实施中国特色高水平高职学校和专业建设计划的意见》《深化新时代职业教育双师型教师队伍建设改革实施方案》《高等学校课程思政建设指导纲要》《河北省深化“双师双证”推进职业教育改革创新工作方案》等改革发展新文件、新精神要求。</w:t>
      </w:r>
    </w:p>
    <w:p>
      <w:pPr>
        <w:widowControl/>
        <w:snapToGrid w:val="0"/>
        <w:spacing w:line="360" w:lineRule="auto"/>
        <w:ind w:firstLine="640" w:firstLineChars="200"/>
        <w:jc w:val="left"/>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cs="仿宋"/>
          <w:sz w:val="32"/>
          <w:szCs w:val="32"/>
        </w:rPr>
        <w:t>目标明确、思路清晰、设计合理、措施有力、成效显著、图文表并茂，字数在</w:t>
      </w:r>
      <w:r>
        <w:rPr>
          <w:rFonts w:ascii="仿宋" w:hAnsi="仿宋" w:eastAsia="仿宋" w:cs="仿宋"/>
          <w:sz w:val="32"/>
          <w:szCs w:val="32"/>
        </w:rPr>
        <w:t>5000--8000</w:t>
      </w:r>
      <w:r>
        <w:rPr>
          <w:rFonts w:hint="eastAsia" w:ascii="仿宋" w:hAnsi="仿宋" w:eastAsia="仿宋" w:cs="仿宋"/>
          <w:sz w:val="32"/>
          <w:szCs w:val="32"/>
        </w:rPr>
        <w:t>字为宜。</w:t>
      </w:r>
    </w:p>
    <w:p>
      <w:pPr>
        <w:widowControl/>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三、格式要求</w:t>
      </w:r>
    </w:p>
    <w:p>
      <w:pPr>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标题上边空</w:t>
      </w:r>
      <w:r>
        <w:rPr>
          <w:rFonts w:ascii="仿宋" w:hAnsi="仿宋" w:eastAsia="仿宋"/>
          <w:kern w:val="0"/>
          <w:sz w:val="32"/>
          <w:szCs w:val="32"/>
        </w:rPr>
        <w:t>1</w:t>
      </w:r>
      <w:r>
        <w:rPr>
          <w:rFonts w:hint="eastAsia" w:ascii="仿宋" w:hAnsi="仿宋" w:eastAsia="仿宋"/>
          <w:kern w:val="0"/>
          <w:sz w:val="32"/>
          <w:szCs w:val="32"/>
        </w:rPr>
        <w:t>行</w:t>
      </w:r>
    </w:p>
    <w:p>
      <w:pPr>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标题：</w:t>
      </w:r>
      <w:r>
        <w:rPr>
          <w:rFonts w:ascii="仿宋" w:hAnsi="仿宋" w:eastAsia="仿宋"/>
          <w:kern w:val="0"/>
          <w:sz w:val="32"/>
          <w:szCs w:val="32"/>
        </w:rPr>
        <w:t xml:space="preserve">2 </w:t>
      </w:r>
      <w:r>
        <w:rPr>
          <w:rFonts w:hint="eastAsia" w:ascii="仿宋" w:hAnsi="仿宋" w:eastAsia="仿宋"/>
          <w:kern w:val="0"/>
          <w:sz w:val="32"/>
          <w:szCs w:val="32"/>
        </w:rPr>
        <w:t>号方正小标宋加粗，居中</w:t>
      </w:r>
    </w:p>
    <w:p>
      <w:pPr>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副标题：</w:t>
      </w:r>
      <w:r>
        <w:rPr>
          <w:rFonts w:ascii="仿宋" w:hAnsi="仿宋" w:eastAsia="仿宋"/>
          <w:kern w:val="0"/>
          <w:sz w:val="32"/>
          <w:szCs w:val="32"/>
        </w:rPr>
        <w:t xml:space="preserve">3 </w:t>
      </w:r>
      <w:r>
        <w:rPr>
          <w:rFonts w:hint="eastAsia" w:ascii="仿宋" w:hAnsi="仿宋" w:eastAsia="仿宋"/>
          <w:kern w:val="0"/>
          <w:sz w:val="32"/>
          <w:szCs w:val="32"/>
        </w:rPr>
        <w:t>号仿宋</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4</w:t>
      </w:r>
      <w:r>
        <w:rPr>
          <w:rFonts w:ascii="仿宋" w:hAnsi="仿宋" w:eastAsia="仿宋"/>
          <w:kern w:val="0"/>
          <w:sz w:val="32"/>
          <w:szCs w:val="32"/>
        </w:rPr>
        <w:t>.</w:t>
      </w:r>
      <w:r>
        <w:rPr>
          <w:rFonts w:hint="eastAsia" w:ascii="仿宋" w:hAnsi="仿宋" w:eastAsia="仿宋"/>
          <w:kern w:val="0"/>
          <w:sz w:val="32"/>
          <w:szCs w:val="32"/>
        </w:rPr>
        <w:t>单位（唐山海运职业学院）：</w:t>
      </w:r>
      <w:r>
        <w:rPr>
          <w:rFonts w:ascii="仿宋" w:hAnsi="仿宋" w:eastAsia="仿宋"/>
          <w:kern w:val="0"/>
          <w:sz w:val="32"/>
          <w:szCs w:val="32"/>
        </w:rPr>
        <w:t xml:space="preserve">3 </w:t>
      </w:r>
      <w:r>
        <w:rPr>
          <w:rFonts w:hint="eastAsia" w:ascii="仿宋" w:hAnsi="仿宋" w:eastAsia="仿宋"/>
          <w:kern w:val="0"/>
          <w:sz w:val="32"/>
          <w:szCs w:val="32"/>
        </w:rPr>
        <w:t>号仿宋，居中，间距：段前</w:t>
      </w:r>
      <w:r>
        <w:rPr>
          <w:rFonts w:ascii="仿宋" w:hAnsi="仿宋" w:eastAsia="仿宋"/>
          <w:kern w:val="0"/>
          <w:sz w:val="32"/>
          <w:szCs w:val="32"/>
        </w:rPr>
        <w:t xml:space="preserve"> 0.5 </w:t>
      </w:r>
      <w:r>
        <w:rPr>
          <w:rFonts w:hint="eastAsia" w:ascii="仿宋" w:hAnsi="仿宋" w:eastAsia="仿宋"/>
          <w:kern w:val="0"/>
          <w:sz w:val="32"/>
          <w:szCs w:val="32"/>
        </w:rPr>
        <w:t>行</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5</w:t>
      </w:r>
      <w:r>
        <w:rPr>
          <w:rFonts w:ascii="仿宋" w:hAnsi="仿宋" w:eastAsia="仿宋"/>
          <w:kern w:val="0"/>
          <w:sz w:val="32"/>
          <w:szCs w:val="32"/>
        </w:rPr>
        <w:t>.</w:t>
      </w:r>
      <w:r>
        <w:rPr>
          <w:rFonts w:hint="eastAsia" w:ascii="仿宋" w:hAnsi="仿宋" w:eastAsia="仿宋"/>
          <w:kern w:val="0"/>
          <w:sz w:val="32"/>
          <w:szCs w:val="32"/>
        </w:rPr>
        <w:t>日期：</w:t>
      </w:r>
      <w:r>
        <w:rPr>
          <w:rFonts w:ascii="仿宋" w:hAnsi="仿宋" w:eastAsia="仿宋"/>
          <w:kern w:val="0"/>
          <w:sz w:val="32"/>
          <w:szCs w:val="32"/>
        </w:rPr>
        <w:t xml:space="preserve">3 </w:t>
      </w:r>
      <w:r>
        <w:rPr>
          <w:rFonts w:hint="eastAsia" w:ascii="仿宋" w:hAnsi="仿宋" w:eastAsia="仿宋"/>
          <w:kern w:val="0"/>
          <w:sz w:val="32"/>
          <w:szCs w:val="32"/>
        </w:rPr>
        <w:t>号楷体，居中</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6</w:t>
      </w:r>
      <w:r>
        <w:rPr>
          <w:rFonts w:ascii="仿宋" w:hAnsi="仿宋" w:eastAsia="仿宋"/>
          <w:kern w:val="0"/>
          <w:sz w:val="32"/>
          <w:szCs w:val="32"/>
        </w:rPr>
        <w:t>.</w:t>
      </w:r>
      <w:r>
        <w:rPr>
          <w:rFonts w:hint="eastAsia" w:ascii="仿宋" w:hAnsi="仿宋" w:eastAsia="仿宋"/>
          <w:kern w:val="0"/>
          <w:sz w:val="32"/>
          <w:szCs w:val="32"/>
        </w:rPr>
        <w:t>正文前空</w:t>
      </w:r>
      <w:r>
        <w:rPr>
          <w:rFonts w:ascii="仿宋" w:hAnsi="仿宋" w:eastAsia="仿宋"/>
          <w:kern w:val="0"/>
          <w:sz w:val="32"/>
          <w:szCs w:val="32"/>
        </w:rPr>
        <w:t xml:space="preserve"> 1 </w:t>
      </w:r>
      <w:r>
        <w:rPr>
          <w:rFonts w:hint="eastAsia" w:ascii="仿宋" w:hAnsi="仿宋" w:eastAsia="仿宋"/>
          <w:kern w:val="0"/>
          <w:sz w:val="32"/>
          <w:szCs w:val="32"/>
        </w:rPr>
        <w:t>行</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7</w:t>
      </w:r>
      <w:r>
        <w:rPr>
          <w:rFonts w:ascii="仿宋" w:hAnsi="仿宋" w:eastAsia="仿宋"/>
          <w:kern w:val="0"/>
          <w:sz w:val="32"/>
          <w:szCs w:val="32"/>
        </w:rPr>
        <w:t>.</w:t>
      </w:r>
      <w:r>
        <w:rPr>
          <w:rFonts w:hint="eastAsia" w:ascii="仿宋" w:hAnsi="仿宋" w:eastAsia="仿宋"/>
          <w:kern w:val="0"/>
          <w:sz w:val="32"/>
          <w:szCs w:val="32"/>
        </w:rPr>
        <w:t>正文：</w:t>
      </w:r>
      <w:r>
        <w:rPr>
          <w:rFonts w:ascii="仿宋" w:hAnsi="仿宋" w:eastAsia="仿宋"/>
          <w:kern w:val="0"/>
          <w:sz w:val="32"/>
          <w:szCs w:val="32"/>
        </w:rPr>
        <w:t xml:space="preserve">3 </w:t>
      </w:r>
      <w:r>
        <w:rPr>
          <w:rFonts w:hint="eastAsia" w:ascii="仿宋" w:hAnsi="仿宋" w:eastAsia="仿宋"/>
          <w:kern w:val="0"/>
          <w:sz w:val="32"/>
          <w:szCs w:val="32"/>
        </w:rPr>
        <w:t>号仿宋</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8</w:t>
      </w:r>
      <w:r>
        <w:rPr>
          <w:rFonts w:ascii="仿宋" w:hAnsi="仿宋" w:eastAsia="仿宋"/>
          <w:kern w:val="0"/>
          <w:sz w:val="32"/>
          <w:szCs w:val="32"/>
        </w:rPr>
        <w:t>.</w:t>
      </w:r>
      <w:r>
        <w:rPr>
          <w:rFonts w:hint="eastAsia" w:ascii="仿宋" w:hAnsi="仿宋" w:eastAsia="仿宋"/>
          <w:kern w:val="0"/>
          <w:sz w:val="32"/>
          <w:szCs w:val="32"/>
        </w:rPr>
        <w:t>一级标题：</w:t>
      </w:r>
      <w:r>
        <w:rPr>
          <w:rFonts w:ascii="仿宋" w:hAnsi="仿宋" w:eastAsia="仿宋"/>
          <w:kern w:val="0"/>
          <w:sz w:val="32"/>
          <w:szCs w:val="32"/>
        </w:rPr>
        <w:t xml:space="preserve">3 </w:t>
      </w:r>
      <w:r>
        <w:rPr>
          <w:rFonts w:hint="eastAsia" w:ascii="仿宋" w:hAnsi="仿宋" w:eastAsia="仿宋"/>
          <w:kern w:val="0"/>
          <w:sz w:val="32"/>
          <w:szCs w:val="32"/>
        </w:rPr>
        <w:t>号黑体</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9</w:t>
      </w:r>
      <w:r>
        <w:rPr>
          <w:rFonts w:ascii="仿宋" w:hAnsi="仿宋" w:eastAsia="仿宋"/>
          <w:kern w:val="0"/>
          <w:sz w:val="32"/>
          <w:szCs w:val="32"/>
        </w:rPr>
        <w:t>.</w:t>
      </w:r>
      <w:r>
        <w:rPr>
          <w:rFonts w:hint="eastAsia" w:ascii="仿宋" w:hAnsi="仿宋" w:eastAsia="仿宋"/>
          <w:kern w:val="0"/>
          <w:sz w:val="32"/>
          <w:szCs w:val="32"/>
        </w:rPr>
        <w:t>二级标题：</w:t>
      </w:r>
      <w:r>
        <w:rPr>
          <w:rFonts w:ascii="仿宋" w:hAnsi="仿宋" w:eastAsia="仿宋"/>
          <w:kern w:val="0"/>
          <w:sz w:val="32"/>
          <w:szCs w:val="32"/>
        </w:rPr>
        <w:t xml:space="preserve">3 </w:t>
      </w:r>
      <w:r>
        <w:rPr>
          <w:rFonts w:hint="eastAsia" w:ascii="仿宋" w:hAnsi="仿宋" w:eastAsia="仿宋"/>
          <w:kern w:val="0"/>
          <w:sz w:val="32"/>
          <w:szCs w:val="32"/>
        </w:rPr>
        <w:t>号楷体</w:t>
      </w:r>
    </w:p>
    <w:p>
      <w:pPr>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10</w:t>
      </w:r>
      <w:r>
        <w:rPr>
          <w:rFonts w:ascii="仿宋" w:hAnsi="仿宋" w:eastAsia="仿宋"/>
          <w:kern w:val="0"/>
          <w:sz w:val="32"/>
          <w:szCs w:val="32"/>
        </w:rPr>
        <w:t>.</w:t>
      </w:r>
      <w:r>
        <w:rPr>
          <w:rFonts w:hint="eastAsia" w:ascii="仿宋" w:hAnsi="仿宋" w:eastAsia="仿宋"/>
          <w:kern w:val="0"/>
          <w:sz w:val="32"/>
          <w:szCs w:val="32"/>
        </w:rPr>
        <w:t>三级及以下标题：</w:t>
      </w:r>
      <w:r>
        <w:rPr>
          <w:rFonts w:ascii="仿宋" w:hAnsi="仿宋" w:eastAsia="仿宋"/>
          <w:kern w:val="0"/>
          <w:sz w:val="32"/>
          <w:szCs w:val="32"/>
        </w:rPr>
        <w:t xml:space="preserve">3 </w:t>
      </w:r>
      <w:r>
        <w:rPr>
          <w:rFonts w:hint="eastAsia" w:ascii="仿宋" w:hAnsi="仿宋" w:eastAsia="仿宋"/>
          <w:kern w:val="0"/>
          <w:sz w:val="32"/>
          <w:szCs w:val="32"/>
        </w:rPr>
        <w:t>号仿宋</w:t>
      </w:r>
    </w:p>
    <w:p>
      <w:pPr>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lang w:val="en-US" w:eastAsia="zh-CN"/>
        </w:rPr>
        <w:t>1</w:t>
      </w:r>
      <w:r>
        <w:rPr>
          <w:rFonts w:ascii="仿宋" w:hAnsi="仿宋" w:eastAsia="仿宋"/>
          <w:kern w:val="0"/>
          <w:sz w:val="32"/>
          <w:szCs w:val="32"/>
        </w:rPr>
        <w:t>.</w:t>
      </w:r>
      <w:r>
        <w:rPr>
          <w:rFonts w:hint="eastAsia" w:ascii="仿宋" w:hAnsi="仿宋" w:eastAsia="仿宋"/>
          <w:kern w:val="0"/>
          <w:sz w:val="32"/>
          <w:szCs w:val="32"/>
        </w:rPr>
        <w:t>页面设置：左右</w:t>
      </w:r>
      <w:r>
        <w:rPr>
          <w:rFonts w:ascii="仿宋" w:hAnsi="仿宋" w:eastAsia="仿宋"/>
          <w:kern w:val="0"/>
          <w:sz w:val="32"/>
          <w:szCs w:val="32"/>
        </w:rPr>
        <w:t xml:space="preserve"> 2.8cm </w:t>
      </w:r>
      <w:r>
        <w:rPr>
          <w:rFonts w:hint="eastAsia" w:ascii="仿宋" w:hAnsi="仿宋" w:eastAsia="仿宋"/>
          <w:kern w:val="0"/>
          <w:sz w:val="32"/>
          <w:szCs w:val="32"/>
        </w:rPr>
        <w:t>边距；正文行间距</w:t>
      </w:r>
      <w:r>
        <w:rPr>
          <w:rFonts w:ascii="仿宋" w:hAnsi="仿宋" w:eastAsia="仿宋"/>
          <w:kern w:val="0"/>
          <w:sz w:val="32"/>
          <w:szCs w:val="32"/>
        </w:rPr>
        <w:t xml:space="preserve"> 28 </w:t>
      </w:r>
      <w:r>
        <w:rPr>
          <w:rFonts w:hint="eastAsia" w:ascii="仿宋" w:hAnsi="仿宋" w:eastAsia="仿宋"/>
          <w:kern w:val="0"/>
          <w:sz w:val="32"/>
          <w:szCs w:val="32"/>
        </w:rPr>
        <w:t>磅</w:t>
      </w:r>
    </w:p>
    <w:p>
      <w:pPr>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lang w:val="en-US" w:eastAsia="zh-CN"/>
        </w:rPr>
        <w:t>2</w:t>
      </w:r>
      <w:r>
        <w:rPr>
          <w:rFonts w:ascii="仿宋" w:hAnsi="仿宋" w:eastAsia="仿宋"/>
          <w:kern w:val="0"/>
          <w:sz w:val="32"/>
          <w:szCs w:val="32"/>
        </w:rPr>
        <w:t>.</w:t>
      </w:r>
      <w:r>
        <w:rPr>
          <w:rFonts w:hint="eastAsia" w:ascii="仿宋" w:hAnsi="仿宋" w:eastAsia="仿宋"/>
          <w:kern w:val="0"/>
          <w:sz w:val="32"/>
          <w:szCs w:val="32"/>
        </w:rPr>
        <w:t>页码：</w:t>
      </w:r>
      <w:r>
        <w:rPr>
          <w:rFonts w:ascii="仿宋" w:hAnsi="仿宋" w:eastAsia="仿宋"/>
          <w:kern w:val="0"/>
          <w:sz w:val="32"/>
          <w:szCs w:val="32"/>
        </w:rPr>
        <w:t>4</w:t>
      </w:r>
      <w:r>
        <w:rPr>
          <w:rFonts w:hint="eastAsia" w:ascii="仿宋" w:hAnsi="仿宋" w:eastAsia="仿宋"/>
          <w:kern w:val="0"/>
          <w:sz w:val="32"/>
          <w:szCs w:val="32"/>
        </w:rPr>
        <w:t>号半角宋体阿拉伯数字，页脚外侧，数字左右各放一条一字线</w:t>
      </w:r>
    </w:p>
    <w:p>
      <w:pPr>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lang w:val="en-US" w:eastAsia="zh-CN"/>
        </w:rPr>
        <w:t>3</w:t>
      </w:r>
      <w:r>
        <w:rPr>
          <w:rFonts w:ascii="仿宋" w:hAnsi="仿宋" w:eastAsia="仿宋"/>
          <w:kern w:val="0"/>
          <w:sz w:val="32"/>
          <w:szCs w:val="32"/>
        </w:rPr>
        <w:t>.</w:t>
      </w:r>
      <w:r>
        <w:rPr>
          <w:rFonts w:hint="eastAsia" w:ascii="仿宋" w:hAnsi="仿宋" w:eastAsia="仿宋"/>
          <w:kern w:val="0"/>
          <w:sz w:val="32"/>
          <w:szCs w:val="32"/>
        </w:rPr>
        <w:t>行距：固定值</w:t>
      </w:r>
      <w:r>
        <w:rPr>
          <w:rFonts w:ascii="仿宋" w:hAnsi="仿宋" w:eastAsia="仿宋"/>
          <w:kern w:val="0"/>
          <w:sz w:val="32"/>
          <w:szCs w:val="32"/>
        </w:rPr>
        <w:t>28</w:t>
      </w:r>
      <w:r>
        <w:rPr>
          <w:rFonts w:hint="eastAsia" w:ascii="仿宋" w:hAnsi="仿宋" w:eastAsia="仿宋"/>
          <w:kern w:val="0"/>
          <w:sz w:val="32"/>
          <w:szCs w:val="32"/>
        </w:rPr>
        <w:t>磅</w:t>
      </w:r>
    </w:p>
    <w:p>
      <w:pPr>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lang w:val="en-US" w:eastAsia="zh-CN"/>
        </w:rPr>
        <w:t>4</w:t>
      </w:r>
      <w:r>
        <w:rPr>
          <w:rFonts w:ascii="仿宋" w:hAnsi="仿宋" w:eastAsia="仿宋"/>
          <w:kern w:val="0"/>
          <w:sz w:val="32"/>
          <w:szCs w:val="32"/>
        </w:rPr>
        <w:t>.</w:t>
      </w:r>
      <w:r>
        <w:rPr>
          <w:rFonts w:hint="eastAsia" w:ascii="仿宋" w:hAnsi="仿宋" w:eastAsia="仿宋"/>
          <w:kern w:val="0"/>
          <w:sz w:val="32"/>
          <w:szCs w:val="32"/>
        </w:rPr>
        <w:t>表格：标题在上，表格在下，</w:t>
      </w:r>
      <w:r>
        <w:rPr>
          <w:rFonts w:ascii="仿宋" w:hAnsi="仿宋" w:eastAsia="仿宋"/>
          <w:kern w:val="0"/>
          <w:sz w:val="32"/>
          <w:szCs w:val="32"/>
        </w:rPr>
        <w:t>5</w:t>
      </w:r>
      <w:r>
        <w:rPr>
          <w:rFonts w:hint="eastAsia" w:ascii="仿宋" w:hAnsi="仿宋" w:eastAsia="仿宋"/>
          <w:kern w:val="0"/>
          <w:sz w:val="32"/>
          <w:szCs w:val="32"/>
        </w:rPr>
        <w:t>号宋体，标题加粗，用序号标注，如表</w:t>
      </w:r>
      <w:r>
        <w:rPr>
          <w:rFonts w:ascii="仿宋" w:hAnsi="仿宋" w:eastAsia="仿宋"/>
          <w:kern w:val="0"/>
          <w:sz w:val="32"/>
          <w:szCs w:val="32"/>
        </w:rPr>
        <w:t>1 XXX</w:t>
      </w:r>
    </w:p>
    <w:p>
      <w:pPr>
        <w:ind w:firstLine="640" w:firstLineChars="200"/>
        <w:rPr>
          <w:kern w:val="0"/>
        </w:rPr>
      </w:pPr>
      <w:r>
        <w:rPr>
          <w:rFonts w:ascii="仿宋" w:hAnsi="仿宋" w:eastAsia="仿宋"/>
          <w:kern w:val="0"/>
          <w:sz w:val="32"/>
          <w:szCs w:val="32"/>
        </w:rPr>
        <w:t>1</w:t>
      </w:r>
      <w:r>
        <w:rPr>
          <w:rFonts w:hint="eastAsia" w:ascii="仿宋" w:hAnsi="仿宋" w:eastAsia="仿宋"/>
          <w:kern w:val="0"/>
          <w:sz w:val="32"/>
          <w:szCs w:val="32"/>
          <w:lang w:val="en-US" w:eastAsia="zh-CN"/>
        </w:rPr>
        <w:t>5.</w:t>
      </w:r>
      <w:r>
        <w:rPr>
          <w:rFonts w:hint="eastAsia" w:ascii="仿宋" w:hAnsi="仿宋" w:eastAsia="仿宋"/>
          <w:kern w:val="0"/>
          <w:sz w:val="32"/>
          <w:szCs w:val="32"/>
        </w:rPr>
        <w:t>图：图在上，图名称在下，</w:t>
      </w:r>
      <w:r>
        <w:rPr>
          <w:rFonts w:ascii="仿宋" w:hAnsi="仿宋" w:eastAsia="仿宋"/>
          <w:kern w:val="0"/>
          <w:sz w:val="32"/>
          <w:szCs w:val="32"/>
        </w:rPr>
        <w:t>5</w:t>
      </w:r>
      <w:r>
        <w:rPr>
          <w:rFonts w:hint="eastAsia" w:ascii="仿宋" w:hAnsi="仿宋" w:eastAsia="仿宋"/>
          <w:kern w:val="0"/>
          <w:sz w:val="32"/>
          <w:szCs w:val="32"/>
        </w:rPr>
        <w:t>号宋体，加粗，用序号标注，如图</w:t>
      </w:r>
      <w:r>
        <w:rPr>
          <w:rFonts w:ascii="仿宋" w:hAnsi="仿宋" w:eastAsia="仿宋"/>
          <w:kern w:val="0"/>
          <w:sz w:val="32"/>
          <w:szCs w:val="32"/>
        </w:rPr>
        <w:t>1 XXX</w:t>
      </w:r>
    </w:p>
    <w:sectPr>
      <w:pgSz w:w="11906" w:h="16838"/>
      <w:pgMar w:top="1440" w:right="1803" w:bottom="1440" w:left="1803" w:header="851" w:footer="992" w:gutter="0"/>
      <w:pgNumType w:fmt="numberInDash"/>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- 17 -</w:t>
                </w:r>
                <w:r>
                  <w:rPr>
                    <w:rFonts w:hint="eastAsia" w:asciiTheme="minorEastAsia" w:hAnsiTheme="minorEastAsia" w:eastAsiaTheme="minorEastAsia" w:cstheme="minorEastAsia"/>
                    <w:sz w:val="24"/>
                    <w:szCs w:val="24"/>
                  </w:rPr>
                  <w:fldChar w:fldCharType="end"/>
                </w:r>
              </w:p>
            </w:txbxContent>
          </v:textbox>
        </v:shape>
      </w:pic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C963"/>
    <w:multiLevelType w:val="singleLevel"/>
    <w:tmpl w:val="4938C963"/>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D6B"/>
    <w:rsid w:val="00002389"/>
    <w:rsid w:val="00037CC7"/>
    <w:rsid w:val="00041E9D"/>
    <w:rsid w:val="00053170"/>
    <w:rsid w:val="00057D87"/>
    <w:rsid w:val="0006190F"/>
    <w:rsid w:val="00066090"/>
    <w:rsid w:val="000866F7"/>
    <w:rsid w:val="000A7B09"/>
    <w:rsid w:val="000B4854"/>
    <w:rsid w:val="000D06C8"/>
    <w:rsid w:val="000D6037"/>
    <w:rsid w:val="000F4CB6"/>
    <w:rsid w:val="00104F90"/>
    <w:rsid w:val="001066B6"/>
    <w:rsid w:val="0015328A"/>
    <w:rsid w:val="001743DB"/>
    <w:rsid w:val="00175BA4"/>
    <w:rsid w:val="00175DB7"/>
    <w:rsid w:val="001767AE"/>
    <w:rsid w:val="00176E19"/>
    <w:rsid w:val="00180DDA"/>
    <w:rsid w:val="00185701"/>
    <w:rsid w:val="00201780"/>
    <w:rsid w:val="0021175B"/>
    <w:rsid w:val="002355ED"/>
    <w:rsid w:val="00243BA7"/>
    <w:rsid w:val="002700F6"/>
    <w:rsid w:val="002779FE"/>
    <w:rsid w:val="00282ABF"/>
    <w:rsid w:val="002949E5"/>
    <w:rsid w:val="002A16E1"/>
    <w:rsid w:val="002A5A5D"/>
    <w:rsid w:val="002A5BEE"/>
    <w:rsid w:val="002B6793"/>
    <w:rsid w:val="002F7ACC"/>
    <w:rsid w:val="0031114A"/>
    <w:rsid w:val="00324285"/>
    <w:rsid w:val="00394C17"/>
    <w:rsid w:val="003A65C8"/>
    <w:rsid w:val="003B21E3"/>
    <w:rsid w:val="003B547E"/>
    <w:rsid w:val="003C3856"/>
    <w:rsid w:val="003C4C54"/>
    <w:rsid w:val="003D45D8"/>
    <w:rsid w:val="003E56CD"/>
    <w:rsid w:val="003F3F13"/>
    <w:rsid w:val="003F4ABB"/>
    <w:rsid w:val="004078C7"/>
    <w:rsid w:val="00451AD5"/>
    <w:rsid w:val="00465AEF"/>
    <w:rsid w:val="00472215"/>
    <w:rsid w:val="00477890"/>
    <w:rsid w:val="00477A92"/>
    <w:rsid w:val="00492960"/>
    <w:rsid w:val="004C546E"/>
    <w:rsid w:val="004C587B"/>
    <w:rsid w:val="004C6615"/>
    <w:rsid w:val="004E0660"/>
    <w:rsid w:val="004E1E07"/>
    <w:rsid w:val="004E7AB2"/>
    <w:rsid w:val="00521D2C"/>
    <w:rsid w:val="00544428"/>
    <w:rsid w:val="00563F04"/>
    <w:rsid w:val="005778C3"/>
    <w:rsid w:val="00585940"/>
    <w:rsid w:val="005B6FC9"/>
    <w:rsid w:val="005C461A"/>
    <w:rsid w:val="005D156A"/>
    <w:rsid w:val="005D22D4"/>
    <w:rsid w:val="005D4F53"/>
    <w:rsid w:val="006123EE"/>
    <w:rsid w:val="006209B3"/>
    <w:rsid w:val="00620CF8"/>
    <w:rsid w:val="00624A95"/>
    <w:rsid w:val="00625C95"/>
    <w:rsid w:val="006349D1"/>
    <w:rsid w:val="0063624C"/>
    <w:rsid w:val="00670421"/>
    <w:rsid w:val="006915A9"/>
    <w:rsid w:val="00691A05"/>
    <w:rsid w:val="00692B2A"/>
    <w:rsid w:val="006A6CC4"/>
    <w:rsid w:val="006D251E"/>
    <w:rsid w:val="006E5DA3"/>
    <w:rsid w:val="006F6ECC"/>
    <w:rsid w:val="0073215F"/>
    <w:rsid w:val="00733244"/>
    <w:rsid w:val="007539B1"/>
    <w:rsid w:val="007664C3"/>
    <w:rsid w:val="007728C2"/>
    <w:rsid w:val="00774711"/>
    <w:rsid w:val="007868DA"/>
    <w:rsid w:val="00790226"/>
    <w:rsid w:val="007A517E"/>
    <w:rsid w:val="007B2DF6"/>
    <w:rsid w:val="007E19D0"/>
    <w:rsid w:val="007E6B9D"/>
    <w:rsid w:val="007F58A8"/>
    <w:rsid w:val="00803347"/>
    <w:rsid w:val="00827527"/>
    <w:rsid w:val="008344DA"/>
    <w:rsid w:val="00834991"/>
    <w:rsid w:val="00876D11"/>
    <w:rsid w:val="0088585B"/>
    <w:rsid w:val="008A5FA6"/>
    <w:rsid w:val="008C3ECD"/>
    <w:rsid w:val="008D1621"/>
    <w:rsid w:val="008E1226"/>
    <w:rsid w:val="008E715A"/>
    <w:rsid w:val="0090364D"/>
    <w:rsid w:val="00906825"/>
    <w:rsid w:val="00934681"/>
    <w:rsid w:val="009425B1"/>
    <w:rsid w:val="00945950"/>
    <w:rsid w:val="009648F8"/>
    <w:rsid w:val="009716FF"/>
    <w:rsid w:val="00973378"/>
    <w:rsid w:val="00992EE1"/>
    <w:rsid w:val="009A3815"/>
    <w:rsid w:val="009B26DF"/>
    <w:rsid w:val="009B2C6A"/>
    <w:rsid w:val="009C7E5B"/>
    <w:rsid w:val="009F60A4"/>
    <w:rsid w:val="00A10CEE"/>
    <w:rsid w:val="00A1317D"/>
    <w:rsid w:val="00A34F1F"/>
    <w:rsid w:val="00A55358"/>
    <w:rsid w:val="00A6599B"/>
    <w:rsid w:val="00A75918"/>
    <w:rsid w:val="00A82D72"/>
    <w:rsid w:val="00A91659"/>
    <w:rsid w:val="00A94C71"/>
    <w:rsid w:val="00AB0061"/>
    <w:rsid w:val="00AB17AB"/>
    <w:rsid w:val="00B17118"/>
    <w:rsid w:val="00B211FF"/>
    <w:rsid w:val="00B24A37"/>
    <w:rsid w:val="00B52D7E"/>
    <w:rsid w:val="00B74BA0"/>
    <w:rsid w:val="00B91D6B"/>
    <w:rsid w:val="00BB10D5"/>
    <w:rsid w:val="00BB7D85"/>
    <w:rsid w:val="00BD71D2"/>
    <w:rsid w:val="00BE5E99"/>
    <w:rsid w:val="00C33AD3"/>
    <w:rsid w:val="00C5559D"/>
    <w:rsid w:val="00C72C1E"/>
    <w:rsid w:val="00C81288"/>
    <w:rsid w:val="00C91ECD"/>
    <w:rsid w:val="00CC682D"/>
    <w:rsid w:val="00CD2EFF"/>
    <w:rsid w:val="00CE0C57"/>
    <w:rsid w:val="00CE33D5"/>
    <w:rsid w:val="00CF3646"/>
    <w:rsid w:val="00D23DF7"/>
    <w:rsid w:val="00D240DF"/>
    <w:rsid w:val="00D432BB"/>
    <w:rsid w:val="00D761E9"/>
    <w:rsid w:val="00D829D0"/>
    <w:rsid w:val="00DA2CB7"/>
    <w:rsid w:val="00DC5997"/>
    <w:rsid w:val="00DF4585"/>
    <w:rsid w:val="00E069E4"/>
    <w:rsid w:val="00E23742"/>
    <w:rsid w:val="00E4080E"/>
    <w:rsid w:val="00E61F96"/>
    <w:rsid w:val="00E6559D"/>
    <w:rsid w:val="00E66440"/>
    <w:rsid w:val="00E73213"/>
    <w:rsid w:val="00E91E44"/>
    <w:rsid w:val="00EA4A6B"/>
    <w:rsid w:val="00EB0BD2"/>
    <w:rsid w:val="00EC3127"/>
    <w:rsid w:val="00ED4E0D"/>
    <w:rsid w:val="00ED67AD"/>
    <w:rsid w:val="00EE2844"/>
    <w:rsid w:val="00EF02F1"/>
    <w:rsid w:val="00F01720"/>
    <w:rsid w:val="00F21692"/>
    <w:rsid w:val="00F565A5"/>
    <w:rsid w:val="00F57A95"/>
    <w:rsid w:val="00F63102"/>
    <w:rsid w:val="00F631E6"/>
    <w:rsid w:val="00F8449E"/>
    <w:rsid w:val="00F90652"/>
    <w:rsid w:val="00F9516F"/>
    <w:rsid w:val="00FA1EBE"/>
    <w:rsid w:val="00FA7959"/>
    <w:rsid w:val="00FB0B44"/>
    <w:rsid w:val="00FB5AC1"/>
    <w:rsid w:val="01343603"/>
    <w:rsid w:val="02310A3E"/>
    <w:rsid w:val="028F6053"/>
    <w:rsid w:val="02D65BBA"/>
    <w:rsid w:val="02EF1410"/>
    <w:rsid w:val="039D4B45"/>
    <w:rsid w:val="03F048F0"/>
    <w:rsid w:val="04061368"/>
    <w:rsid w:val="04554233"/>
    <w:rsid w:val="046C4513"/>
    <w:rsid w:val="04E72221"/>
    <w:rsid w:val="053B707D"/>
    <w:rsid w:val="056B4DD0"/>
    <w:rsid w:val="05FC0EB3"/>
    <w:rsid w:val="060F7DF1"/>
    <w:rsid w:val="064706EE"/>
    <w:rsid w:val="064C50B1"/>
    <w:rsid w:val="070B57C9"/>
    <w:rsid w:val="072B67A1"/>
    <w:rsid w:val="07A341E5"/>
    <w:rsid w:val="08275704"/>
    <w:rsid w:val="08B022B8"/>
    <w:rsid w:val="08B33280"/>
    <w:rsid w:val="095C33F1"/>
    <w:rsid w:val="0A3A40BC"/>
    <w:rsid w:val="0AAA59B5"/>
    <w:rsid w:val="0AC07A89"/>
    <w:rsid w:val="0AC815DD"/>
    <w:rsid w:val="0AF537C5"/>
    <w:rsid w:val="0B072A56"/>
    <w:rsid w:val="0B197E55"/>
    <w:rsid w:val="0B79465A"/>
    <w:rsid w:val="0B8C16CD"/>
    <w:rsid w:val="0BC70F2E"/>
    <w:rsid w:val="0C1A0455"/>
    <w:rsid w:val="0C4B73DE"/>
    <w:rsid w:val="0C51354B"/>
    <w:rsid w:val="0CA25644"/>
    <w:rsid w:val="0CAB2C81"/>
    <w:rsid w:val="0DF26412"/>
    <w:rsid w:val="0E827A41"/>
    <w:rsid w:val="0EBD51D7"/>
    <w:rsid w:val="0EDD1566"/>
    <w:rsid w:val="0F1E7B5D"/>
    <w:rsid w:val="0F9A7D32"/>
    <w:rsid w:val="1007389B"/>
    <w:rsid w:val="107A2F07"/>
    <w:rsid w:val="111216F5"/>
    <w:rsid w:val="118D4A68"/>
    <w:rsid w:val="12474E63"/>
    <w:rsid w:val="15183FC0"/>
    <w:rsid w:val="162136FE"/>
    <w:rsid w:val="1862250A"/>
    <w:rsid w:val="186B5F61"/>
    <w:rsid w:val="18814C01"/>
    <w:rsid w:val="18E76062"/>
    <w:rsid w:val="1A8E69BD"/>
    <w:rsid w:val="1ACB0605"/>
    <w:rsid w:val="1AD97438"/>
    <w:rsid w:val="1ADD00B8"/>
    <w:rsid w:val="1AF119E9"/>
    <w:rsid w:val="1B1D6BA3"/>
    <w:rsid w:val="1CBB08B9"/>
    <w:rsid w:val="1D1764DE"/>
    <w:rsid w:val="1D7E38A8"/>
    <w:rsid w:val="1D8E7A39"/>
    <w:rsid w:val="1DE76759"/>
    <w:rsid w:val="1E226352"/>
    <w:rsid w:val="1ED4462D"/>
    <w:rsid w:val="1EF03201"/>
    <w:rsid w:val="1EF31218"/>
    <w:rsid w:val="20120A1A"/>
    <w:rsid w:val="217015F4"/>
    <w:rsid w:val="22D02A6B"/>
    <w:rsid w:val="22FB777E"/>
    <w:rsid w:val="23180FAF"/>
    <w:rsid w:val="23433AD3"/>
    <w:rsid w:val="23A840E5"/>
    <w:rsid w:val="23E95FE0"/>
    <w:rsid w:val="24A613EA"/>
    <w:rsid w:val="24EA402F"/>
    <w:rsid w:val="251E6C59"/>
    <w:rsid w:val="25DB2243"/>
    <w:rsid w:val="26397DC3"/>
    <w:rsid w:val="274D3459"/>
    <w:rsid w:val="275A4A7E"/>
    <w:rsid w:val="27FB40BE"/>
    <w:rsid w:val="2813041E"/>
    <w:rsid w:val="28450C29"/>
    <w:rsid w:val="28873219"/>
    <w:rsid w:val="28BD4A12"/>
    <w:rsid w:val="28EB3395"/>
    <w:rsid w:val="290D0B49"/>
    <w:rsid w:val="292F1A0C"/>
    <w:rsid w:val="29BE186E"/>
    <w:rsid w:val="2A9D1690"/>
    <w:rsid w:val="2AD6114A"/>
    <w:rsid w:val="2AF5118A"/>
    <w:rsid w:val="2B0901FC"/>
    <w:rsid w:val="2C0D62DD"/>
    <w:rsid w:val="2C904B46"/>
    <w:rsid w:val="2CEE3F16"/>
    <w:rsid w:val="2CF56B90"/>
    <w:rsid w:val="2D7D1323"/>
    <w:rsid w:val="2D986E65"/>
    <w:rsid w:val="2DC86AB6"/>
    <w:rsid w:val="2F5700A0"/>
    <w:rsid w:val="2F5D7ECE"/>
    <w:rsid w:val="2FE706A6"/>
    <w:rsid w:val="30B13C4C"/>
    <w:rsid w:val="31097D04"/>
    <w:rsid w:val="31130EE1"/>
    <w:rsid w:val="31221D38"/>
    <w:rsid w:val="31ED5442"/>
    <w:rsid w:val="31F8773C"/>
    <w:rsid w:val="32AD5C76"/>
    <w:rsid w:val="33C47A65"/>
    <w:rsid w:val="33E60E13"/>
    <w:rsid w:val="345A4A0F"/>
    <w:rsid w:val="3553484C"/>
    <w:rsid w:val="35A37DCF"/>
    <w:rsid w:val="35BC3CFE"/>
    <w:rsid w:val="365C475C"/>
    <w:rsid w:val="372352E4"/>
    <w:rsid w:val="37513FAF"/>
    <w:rsid w:val="37817D91"/>
    <w:rsid w:val="37C0261A"/>
    <w:rsid w:val="37FB6B62"/>
    <w:rsid w:val="38B205D6"/>
    <w:rsid w:val="39583A23"/>
    <w:rsid w:val="39A37913"/>
    <w:rsid w:val="3A6855BD"/>
    <w:rsid w:val="3A8E646D"/>
    <w:rsid w:val="3BBF00F1"/>
    <w:rsid w:val="3C7D0970"/>
    <w:rsid w:val="3C9B7266"/>
    <w:rsid w:val="3CAC791F"/>
    <w:rsid w:val="3CCB0845"/>
    <w:rsid w:val="3D5A52AF"/>
    <w:rsid w:val="3D6C678C"/>
    <w:rsid w:val="3DEF59C3"/>
    <w:rsid w:val="3E6F7DA3"/>
    <w:rsid w:val="3E943784"/>
    <w:rsid w:val="3EB65908"/>
    <w:rsid w:val="3EBE5305"/>
    <w:rsid w:val="3F310478"/>
    <w:rsid w:val="3FCB11F0"/>
    <w:rsid w:val="3FE505DD"/>
    <w:rsid w:val="405B5C8C"/>
    <w:rsid w:val="421054DB"/>
    <w:rsid w:val="42443034"/>
    <w:rsid w:val="42F17DC4"/>
    <w:rsid w:val="445D721C"/>
    <w:rsid w:val="44922151"/>
    <w:rsid w:val="44B2170C"/>
    <w:rsid w:val="44F55E32"/>
    <w:rsid w:val="44FA213A"/>
    <w:rsid w:val="450430BE"/>
    <w:rsid w:val="452474B3"/>
    <w:rsid w:val="45477DB0"/>
    <w:rsid w:val="464945C9"/>
    <w:rsid w:val="474E03E9"/>
    <w:rsid w:val="47643A0E"/>
    <w:rsid w:val="4769604C"/>
    <w:rsid w:val="483C49A4"/>
    <w:rsid w:val="486221BE"/>
    <w:rsid w:val="48772364"/>
    <w:rsid w:val="48A57DF7"/>
    <w:rsid w:val="48AB07EF"/>
    <w:rsid w:val="49B47884"/>
    <w:rsid w:val="4A886FF6"/>
    <w:rsid w:val="4B9C33F0"/>
    <w:rsid w:val="4BFC04DB"/>
    <w:rsid w:val="4C144993"/>
    <w:rsid w:val="4CDA6631"/>
    <w:rsid w:val="4D673C9A"/>
    <w:rsid w:val="4E760631"/>
    <w:rsid w:val="4EBD2903"/>
    <w:rsid w:val="4F0E0210"/>
    <w:rsid w:val="50386731"/>
    <w:rsid w:val="506F7AD6"/>
    <w:rsid w:val="50EA4719"/>
    <w:rsid w:val="50F1069F"/>
    <w:rsid w:val="51142412"/>
    <w:rsid w:val="512A7645"/>
    <w:rsid w:val="53026430"/>
    <w:rsid w:val="533040BA"/>
    <w:rsid w:val="536360DB"/>
    <w:rsid w:val="537530B1"/>
    <w:rsid w:val="53E319E5"/>
    <w:rsid w:val="551753D0"/>
    <w:rsid w:val="5608487E"/>
    <w:rsid w:val="56622C17"/>
    <w:rsid w:val="56FA55B7"/>
    <w:rsid w:val="5700221B"/>
    <w:rsid w:val="57232307"/>
    <w:rsid w:val="57CF5665"/>
    <w:rsid w:val="58DF705C"/>
    <w:rsid w:val="594C1B73"/>
    <w:rsid w:val="5AA3014D"/>
    <w:rsid w:val="5AA9638F"/>
    <w:rsid w:val="5AB86DAC"/>
    <w:rsid w:val="5AEB4967"/>
    <w:rsid w:val="5C072CE9"/>
    <w:rsid w:val="5C8343E8"/>
    <w:rsid w:val="5C877677"/>
    <w:rsid w:val="5CE828EC"/>
    <w:rsid w:val="5D412F97"/>
    <w:rsid w:val="5D882DD9"/>
    <w:rsid w:val="5DF9750B"/>
    <w:rsid w:val="5E802297"/>
    <w:rsid w:val="5EBF3CA2"/>
    <w:rsid w:val="5EF65846"/>
    <w:rsid w:val="5F1A27E2"/>
    <w:rsid w:val="5F840271"/>
    <w:rsid w:val="5FDA6C52"/>
    <w:rsid w:val="5FE56F7E"/>
    <w:rsid w:val="601E57EE"/>
    <w:rsid w:val="60C13777"/>
    <w:rsid w:val="60CD1D40"/>
    <w:rsid w:val="61171EA9"/>
    <w:rsid w:val="61F56E33"/>
    <w:rsid w:val="623F71B7"/>
    <w:rsid w:val="626C1CC7"/>
    <w:rsid w:val="64661C1A"/>
    <w:rsid w:val="6479711A"/>
    <w:rsid w:val="65DA7FD0"/>
    <w:rsid w:val="663C1B6B"/>
    <w:rsid w:val="66485205"/>
    <w:rsid w:val="66813F2D"/>
    <w:rsid w:val="66FA447B"/>
    <w:rsid w:val="66FA4571"/>
    <w:rsid w:val="6777333C"/>
    <w:rsid w:val="681F34D5"/>
    <w:rsid w:val="68A518D9"/>
    <w:rsid w:val="68EF0751"/>
    <w:rsid w:val="69723F0F"/>
    <w:rsid w:val="6A001645"/>
    <w:rsid w:val="6A4B67D2"/>
    <w:rsid w:val="6AF13201"/>
    <w:rsid w:val="6AFA195C"/>
    <w:rsid w:val="6B021AA3"/>
    <w:rsid w:val="6B4310FE"/>
    <w:rsid w:val="6B436CC1"/>
    <w:rsid w:val="6B882930"/>
    <w:rsid w:val="6C774CC4"/>
    <w:rsid w:val="6C89507D"/>
    <w:rsid w:val="6CF91049"/>
    <w:rsid w:val="6D352E4D"/>
    <w:rsid w:val="6D6D6E2A"/>
    <w:rsid w:val="6DC677B8"/>
    <w:rsid w:val="6E0136A6"/>
    <w:rsid w:val="6F0E0C75"/>
    <w:rsid w:val="6F0F6A53"/>
    <w:rsid w:val="6F6F2C1A"/>
    <w:rsid w:val="6FAE6AB4"/>
    <w:rsid w:val="6FC604E0"/>
    <w:rsid w:val="6FEF6BD5"/>
    <w:rsid w:val="700A7C24"/>
    <w:rsid w:val="704A41C2"/>
    <w:rsid w:val="70AC68DF"/>
    <w:rsid w:val="70BF337A"/>
    <w:rsid w:val="70CE398B"/>
    <w:rsid w:val="720F0359"/>
    <w:rsid w:val="72816911"/>
    <w:rsid w:val="730A59F7"/>
    <w:rsid w:val="730E7C9A"/>
    <w:rsid w:val="733A10EF"/>
    <w:rsid w:val="73495AB4"/>
    <w:rsid w:val="73EA698A"/>
    <w:rsid w:val="74CF4772"/>
    <w:rsid w:val="762C0828"/>
    <w:rsid w:val="763270A5"/>
    <w:rsid w:val="766E1858"/>
    <w:rsid w:val="76881390"/>
    <w:rsid w:val="76EF0FAD"/>
    <w:rsid w:val="76F44EEF"/>
    <w:rsid w:val="770F7D60"/>
    <w:rsid w:val="77237588"/>
    <w:rsid w:val="786A3285"/>
    <w:rsid w:val="78B75C59"/>
    <w:rsid w:val="78BD5F69"/>
    <w:rsid w:val="78DD1477"/>
    <w:rsid w:val="79334CD6"/>
    <w:rsid w:val="7A496290"/>
    <w:rsid w:val="7A4A7CE4"/>
    <w:rsid w:val="7A7918A1"/>
    <w:rsid w:val="7AE30813"/>
    <w:rsid w:val="7B715812"/>
    <w:rsid w:val="7BE776A0"/>
    <w:rsid w:val="7C091131"/>
    <w:rsid w:val="7C8865E5"/>
    <w:rsid w:val="7CAF4F76"/>
    <w:rsid w:val="7EA54774"/>
    <w:rsid w:val="7EAE16DE"/>
    <w:rsid w:val="7EC200FD"/>
    <w:rsid w:val="7F7F07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rPr>
  </w:style>
  <w:style w:type="character" w:styleId="8">
    <w:name w:val="FollowedHyperlink"/>
    <w:basedOn w:val="6"/>
    <w:semiHidden/>
    <w:qFormat/>
    <w:uiPriority w:val="99"/>
    <w:rPr>
      <w:rFonts w:cs="Times New Roman"/>
      <w:color w:val="333333"/>
      <w:u w:val="none"/>
    </w:rPr>
  </w:style>
  <w:style w:type="character" w:styleId="9">
    <w:name w:val="Hyperlink"/>
    <w:basedOn w:val="6"/>
    <w:semiHidden/>
    <w:qFormat/>
    <w:uiPriority w:val="99"/>
    <w:rPr>
      <w:rFonts w:cs="Times New Roman"/>
      <w:color w:val="333333"/>
      <w:u w:val="none"/>
    </w:rPr>
  </w:style>
  <w:style w:type="character" w:customStyle="1" w:styleId="10">
    <w:name w:val="Footer Char"/>
    <w:basedOn w:val="6"/>
    <w:link w:val="2"/>
    <w:semiHidden/>
    <w:qFormat/>
    <w:locked/>
    <w:uiPriority w:val="99"/>
    <w:rPr>
      <w:rFonts w:cs="Times New Roman"/>
      <w:sz w:val="18"/>
      <w:szCs w:val="18"/>
    </w:rPr>
  </w:style>
  <w:style w:type="character" w:customStyle="1" w:styleId="11">
    <w:name w:val="Header Char"/>
    <w:basedOn w:val="6"/>
    <w:link w:val="3"/>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news_title"/>
    <w:basedOn w:val="6"/>
    <w:qFormat/>
    <w:uiPriority w:val="99"/>
    <w:rPr>
      <w:rFonts w:cs="Times New Roman"/>
    </w:rPr>
  </w:style>
  <w:style w:type="character" w:customStyle="1" w:styleId="14">
    <w:name w:val="right"/>
    <w:basedOn w:val="6"/>
    <w:qFormat/>
    <w:uiPriority w:val="99"/>
    <w:rPr>
      <w:rFonts w:cs="Times New Roman"/>
    </w:rPr>
  </w:style>
  <w:style w:type="character" w:customStyle="1" w:styleId="15">
    <w:name w:val="item-name"/>
    <w:basedOn w:val="6"/>
    <w:qFormat/>
    <w:uiPriority w:val="99"/>
    <w:rPr>
      <w:rFonts w:cs="Times New Roman"/>
    </w:rPr>
  </w:style>
  <w:style w:type="character" w:customStyle="1" w:styleId="16">
    <w:name w:val="item-name1"/>
    <w:basedOn w:val="6"/>
    <w:qFormat/>
    <w:uiPriority w:val="99"/>
    <w:rPr>
      <w:rFonts w:cs="Times New Roman"/>
    </w:rPr>
  </w:style>
  <w:style w:type="character" w:customStyle="1" w:styleId="17">
    <w:name w:val="item-name2"/>
    <w:basedOn w:val="6"/>
    <w:qFormat/>
    <w:uiPriority w:val="99"/>
    <w:rPr>
      <w:rFonts w:cs="Times New Roman"/>
    </w:rPr>
  </w:style>
  <w:style w:type="character" w:customStyle="1" w:styleId="18">
    <w:name w:val="item-name3"/>
    <w:basedOn w:val="6"/>
    <w:qFormat/>
    <w:uiPriority w:val="99"/>
    <w:rPr>
      <w:rFonts w:cs="Times New Roman"/>
    </w:rPr>
  </w:style>
  <w:style w:type="character" w:customStyle="1" w:styleId="19">
    <w:name w:val="item-name4"/>
    <w:basedOn w:val="6"/>
    <w:qFormat/>
    <w:uiPriority w:val="99"/>
    <w:rPr>
      <w:rFonts w:cs="Times New Roman"/>
    </w:rPr>
  </w:style>
  <w:style w:type="character" w:customStyle="1" w:styleId="20">
    <w:name w:val="item-name5"/>
    <w:basedOn w:val="6"/>
    <w:qFormat/>
    <w:uiPriority w:val="99"/>
    <w:rPr>
      <w:rFonts w:cs="Times New Roman"/>
      <w:b/>
      <w:sz w:val="12"/>
      <w:szCs w:val="12"/>
    </w:rPr>
  </w:style>
  <w:style w:type="character" w:customStyle="1" w:styleId="21">
    <w:name w:val="item-name6"/>
    <w:basedOn w:val="6"/>
    <w:qFormat/>
    <w:uiPriority w:val="99"/>
    <w:rPr>
      <w:rFonts w:cs="Times New Roman"/>
    </w:rPr>
  </w:style>
  <w:style w:type="character" w:customStyle="1" w:styleId="22">
    <w:name w:val="item-name7"/>
    <w:basedOn w:val="6"/>
    <w:qFormat/>
    <w:uiPriority w:val="99"/>
    <w:rPr>
      <w:rFonts w:cs="Times New Roman"/>
      <w:sz w:val="14"/>
      <w:szCs w:val="14"/>
    </w:rPr>
  </w:style>
  <w:style w:type="character" w:customStyle="1" w:styleId="23">
    <w:name w:val="item-name8"/>
    <w:basedOn w:val="6"/>
    <w:qFormat/>
    <w:uiPriority w:val="99"/>
    <w:rPr>
      <w:rFonts w:cs="Times New Roman"/>
    </w:rPr>
  </w:style>
  <w:style w:type="character" w:customStyle="1" w:styleId="24">
    <w:name w:val="news_meta"/>
    <w:basedOn w:val="6"/>
    <w:qFormat/>
    <w:uiPriority w:val="99"/>
    <w:rPr>
      <w:rFonts w:cs="Times New Roman"/>
    </w:rPr>
  </w:style>
  <w:style w:type="character" w:customStyle="1" w:styleId="25">
    <w:name w:val="column-name14"/>
    <w:basedOn w:val="6"/>
    <w:qFormat/>
    <w:uiPriority w:val="99"/>
    <w:rPr>
      <w:rFonts w:cs="Times New Roman"/>
      <w:color w:val="666666"/>
    </w:rPr>
  </w:style>
  <w:style w:type="character" w:customStyle="1" w:styleId="26">
    <w:name w:val="column-name15"/>
    <w:basedOn w:val="6"/>
    <w:qFormat/>
    <w:uiPriority w:val="99"/>
    <w:rPr>
      <w:rFonts w:cs="Times New Roman"/>
      <w:color w:val="124D83"/>
    </w:rPr>
  </w:style>
  <w:style w:type="character" w:customStyle="1" w:styleId="27">
    <w:name w:val="column-name16"/>
    <w:basedOn w:val="6"/>
    <w:qFormat/>
    <w:uiPriority w:val="99"/>
    <w:rPr>
      <w:rFonts w:cs="Times New Roman"/>
      <w:color w:val="124D83"/>
    </w:rPr>
  </w:style>
  <w:style w:type="character" w:customStyle="1" w:styleId="28">
    <w:name w:val="column-name17"/>
    <w:basedOn w:val="6"/>
    <w:qFormat/>
    <w:uiPriority w:val="99"/>
    <w:rPr>
      <w:rFonts w:cs="Times New Roman"/>
      <w:color w:val="124D83"/>
    </w:rPr>
  </w:style>
  <w:style w:type="character" w:customStyle="1" w:styleId="29">
    <w:name w:val="column-name18"/>
    <w:basedOn w:val="6"/>
    <w:qFormat/>
    <w:uiPriority w:val="99"/>
    <w:rPr>
      <w:rFonts w:cs="Times New Roman"/>
      <w:color w:val="124D83"/>
    </w:rPr>
  </w:style>
  <w:style w:type="character" w:customStyle="1" w:styleId="30">
    <w:name w:val="left"/>
    <w:basedOn w:val="6"/>
    <w:qFormat/>
    <w:uiPriority w:val="99"/>
    <w:rPr>
      <w:rFonts w:cs="Times New Roman"/>
    </w:rPr>
  </w:style>
  <w:style w:type="character" w:customStyle="1" w:styleId="31">
    <w:name w:val="column-name"/>
    <w:basedOn w:val="6"/>
    <w:qFormat/>
    <w:uiPriority w:val="99"/>
    <w:rPr>
      <w:rFonts w:cs="Times New Roman"/>
      <w:color w:val="666666"/>
    </w:rPr>
  </w:style>
  <w:style w:type="character" w:customStyle="1" w:styleId="32">
    <w:name w:val="column-name1"/>
    <w:basedOn w:val="6"/>
    <w:qFormat/>
    <w:uiPriority w:val="99"/>
    <w:rPr>
      <w:rFonts w:cs="Times New Roman"/>
      <w:color w:val="124D83"/>
    </w:rPr>
  </w:style>
  <w:style w:type="character" w:customStyle="1" w:styleId="33">
    <w:name w:val="column-name2"/>
    <w:basedOn w:val="6"/>
    <w:qFormat/>
    <w:uiPriority w:val="99"/>
    <w:rPr>
      <w:rFonts w:cs="Times New Roman"/>
      <w:color w:val="124D83"/>
    </w:rPr>
  </w:style>
  <w:style w:type="character" w:customStyle="1" w:styleId="34">
    <w:name w:val="column-name3"/>
    <w:basedOn w:val="6"/>
    <w:qFormat/>
    <w:uiPriority w:val="99"/>
    <w:rPr>
      <w:rFonts w:cs="Times New Roman"/>
      <w:color w:val="124D83"/>
    </w:rPr>
  </w:style>
  <w:style w:type="character" w:customStyle="1" w:styleId="35">
    <w:name w:val="column-name4"/>
    <w:basedOn w:val="6"/>
    <w:qFormat/>
    <w:uiPriority w:val="99"/>
    <w:rPr>
      <w:rFonts w:cs="Times New Roman"/>
      <w:color w:val="124D8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1127</Words>
  <Characters>6428</Characters>
  <Lines>0</Lines>
  <Paragraphs>0</Paragraphs>
  <TotalTime>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2020-12-04T00:43:00Z</dcterms:created>
  <dc:creator>ll</dc:creator>
  <cp:lastModifiedBy>41087</cp:lastModifiedBy>
  <cp:lastPrinted>2021-01-04T08:57:00Z</cp:lastPrinted>
  <dcterms:modified xsi:type="dcterms:W3CDTF">2021-01-08T03:07:09Z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